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询 价 函</w:t>
      </w:r>
    </w:p>
    <w:p>
      <w:pPr>
        <w:pStyle w:val="6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雅安城市建设投资开发有限公司</w:t>
      </w: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食堂干杂询价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雅安城市建设投资开发有限公司</w:t>
      </w:r>
    </w:p>
    <w:p>
      <w:pPr>
        <w:jc w:val="center"/>
        <w:rPr>
          <w:rFonts w:hint="default" w:ascii="宋体" w:hAnsi="宋体" w:eastAsia="宋体"/>
          <w:bCs/>
          <w:cap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二〇二〇年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柒月</w:t>
      </w:r>
    </w:p>
    <w:bookmarkEnd w:id="1"/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询价函</w:t>
      </w:r>
    </w:p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食堂干杂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进行询价，现诚邀遵守中国有关法律、法规，且具有良好的商业信誉及服务能力的单位参加，项目详情如下：</w:t>
      </w:r>
    </w:p>
    <w:tbl>
      <w:tblPr>
        <w:tblStyle w:val="17"/>
        <w:tblW w:w="1094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食堂干杂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董奇琪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0835-59633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1.盐、味精、酱油、豆瓣、辣椒面、胡椒面等食堂干杂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考虑到我公司办公地点即将搬迁至金安厂附近，后期送货地点将变更，报价单位报价时需充分考虑我公司办公室搬迁后的运距问题，因运距增加产生的费用含在报价内，我公司不再增加费用。若无法接受因运距增加而无法进行配送的，报价单位不应参加此次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3.报价为包干价，报价包含干杂及服务费、税费（增值税）、运输费等一切费用，不再额外增加其他费用。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4.服务期内供货价不得高于投标时最终报价。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5.原则上应在我方提出配送要求后，在我方要求时间内（原则在30分钟内）送达，无故超出时间3次，我方有权单方解除合同。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增值税普通发票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，报价必须按照甲方提供的询价函及其附件要求报价，乙方单位私自变更内容，甲方有权拒绝。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承诺书：售后承诺及新城区能否送货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递交地点：雅安城市建设投资开发有限公司（四川省雅安市雨城区人民路31号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spacing w:line="260" w:lineRule="exact"/>
        <w:outlineLvl w:val="1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7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fmt="numberInDash" w:start="1"/>
          <w:cols w:space="720" w:num="1"/>
          <w:docGrid w:type="lines" w:linePitch="312" w:charSpace="0"/>
        </w:sectPr>
      </w:pPr>
      <w:bookmarkStart w:id="2" w:name="_Toc131305914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附件1：报价表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78"/>
        <w:gridCol w:w="1395"/>
        <w:gridCol w:w="1260"/>
        <w:gridCol w:w="249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7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6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49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品牌或规格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豆粉</w:t>
            </w:r>
          </w:p>
        </w:tc>
        <w:tc>
          <w:tcPr>
            <w:tcW w:w="13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26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郫县豆瓣</w:t>
            </w:r>
          </w:p>
        </w:tc>
        <w:tc>
          <w:tcPr>
            <w:tcW w:w="13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26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汉源花椒</w:t>
            </w:r>
          </w:p>
        </w:tc>
        <w:tc>
          <w:tcPr>
            <w:tcW w:w="13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26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食用盐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350g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国泰味精</w:t>
            </w:r>
          </w:p>
        </w:tc>
        <w:tc>
          <w:tcPr>
            <w:tcW w:w="13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26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454g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7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莎麦鸡精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454g</w:t>
            </w:r>
            <w:bookmarkStart w:id="3" w:name="_GoBack"/>
            <w:bookmarkEnd w:id="3"/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7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泡椒</w:t>
            </w:r>
          </w:p>
        </w:tc>
        <w:tc>
          <w:tcPr>
            <w:tcW w:w="13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26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7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海天老抽</w:t>
            </w:r>
          </w:p>
        </w:tc>
        <w:tc>
          <w:tcPr>
            <w:tcW w:w="13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6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1.9L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7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海天生抽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1.9L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7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白糖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散装白糖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7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辣椒面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散装辣椒面（细）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7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胡椒面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散装胡椒面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27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白芝麻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散装白芝麻</w:t>
            </w:r>
          </w:p>
        </w:tc>
        <w:tc>
          <w:tcPr>
            <w:tcW w:w="185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134" w:type="dxa"/>
            <w:gridSpan w:val="6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合计：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注：1.报价为包干价，包含干杂及服务费、税费（增值税）、运输费等一切费用，不再额外增加其他费用。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2.服务期内供货价不得高于投标时最终报价。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3.配送时需按照询价清单上物品的品牌及规格进行配送，若收货时发现与订购商品规格及价格不符，我方有权拒绝收货。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4.包含但不限于以上干杂，未包含在报价单中的其他干杂，费用不高于市场价，并由我公司自主决定是否在报价单位购买。。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5.报价时需将此《询价函》封面、正文、表格全部打印并按要求密封后交我公司。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公司名称（盖章）：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　　　　　　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法定代表人或授权代表（签字）：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及联系电话：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日期: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sectPr>
      <w:footnotePr>
        <w:pos w:val="beneathText"/>
      </w:footnotePr>
      <w:pgSz w:w="11905" w:h="16837"/>
      <w:pgMar w:top="595" w:right="1134" w:bottom="595" w:left="850" w:header="851" w:footer="992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1224"/>
        <w:tab w:val="clear" w:pos="4153"/>
      </w:tabs>
      <w:jc w:val="both"/>
      <w:rPr>
        <w:rFonts w:ascii="宋体" w:hAnsi="宋体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94025BC"/>
    <w:rsid w:val="0C871373"/>
    <w:rsid w:val="0C981349"/>
    <w:rsid w:val="0D4651C4"/>
    <w:rsid w:val="0FD07A86"/>
    <w:rsid w:val="10EA595B"/>
    <w:rsid w:val="110A1AD5"/>
    <w:rsid w:val="11E50982"/>
    <w:rsid w:val="12FC4EED"/>
    <w:rsid w:val="13383ED1"/>
    <w:rsid w:val="139C6D98"/>
    <w:rsid w:val="15AE2336"/>
    <w:rsid w:val="16831E2E"/>
    <w:rsid w:val="180541EC"/>
    <w:rsid w:val="197C5011"/>
    <w:rsid w:val="1A7B08FD"/>
    <w:rsid w:val="1E7048EA"/>
    <w:rsid w:val="224E1BA6"/>
    <w:rsid w:val="24E87A6B"/>
    <w:rsid w:val="25495507"/>
    <w:rsid w:val="274C096F"/>
    <w:rsid w:val="29D51ED6"/>
    <w:rsid w:val="2AB73FB9"/>
    <w:rsid w:val="2AF75BDF"/>
    <w:rsid w:val="2BB626E2"/>
    <w:rsid w:val="2D460098"/>
    <w:rsid w:val="31D240C7"/>
    <w:rsid w:val="3251489B"/>
    <w:rsid w:val="34545E59"/>
    <w:rsid w:val="373E6C5C"/>
    <w:rsid w:val="37F66F05"/>
    <w:rsid w:val="38BA649F"/>
    <w:rsid w:val="391A3A3A"/>
    <w:rsid w:val="395D152B"/>
    <w:rsid w:val="3AEC3E5F"/>
    <w:rsid w:val="3C03323D"/>
    <w:rsid w:val="3CA34155"/>
    <w:rsid w:val="3DAD4B33"/>
    <w:rsid w:val="3FD96ED4"/>
    <w:rsid w:val="40BD4320"/>
    <w:rsid w:val="43532873"/>
    <w:rsid w:val="438D76F7"/>
    <w:rsid w:val="43B1111A"/>
    <w:rsid w:val="46866FE1"/>
    <w:rsid w:val="495A5744"/>
    <w:rsid w:val="4A64571C"/>
    <w:rsid w:val="4AE27FBA"/>
    <w:rsid w:val="4BAC0EB9"/>
    <w:rsid w:val="56C37A5C"/>
    <w:rsid w:val="585C022D"/>
    <w:rsid w:val="5B04354D"/>
    <w:rsid w:val="5B3A0472"/>
    <w:rsid w:val="5B996F79"/>
    <w:rsid w:val="5BFE271B"/>
    <w:rsid w:val="5C41389F"/>
    <w:rsid w:val="5C5F632A"/>
    <w:rsid w:val="5F626D6E"/>
    <w:rsid w:val="5F8A26CE"/>
    <w:rsid w:val="625E20AA"/>
    <w:rsid w:val="671477D9"/>
    <w:rsid w:val="681273DF"/>
    <w:rsid w:val="69CA0E37"/>
    <w:rsid w:val="6B7D454F"/>
    <w:rsid w:val="6BFC774D"/>
    <w:rsid w:val="6D850292"/>
    <w:rsid w:val="6E675169"/>
    <w:rsid w:val="6F1A10C8"/>
    <w:rsid w:val="7217328A"/>
    <w:rsid w:val="7268538D"/>
    <w:rsid w:val="732C48FD"/>
    <w:rsid w:val="761C45F1"/>
    <w:rsid w:val="7728448C"/>
    <w:rsid w:val="78102BB8"/>
    <w:rsid w:val="796224C0"/>
    <w:rsid w:val="7A0D0355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6</Pages>
  <Words>370</Words>
  <Characters>2114</Characters>
  <Lines>17</Lines>
  <Paragraphs>4</Paragraphs>
  <TotalTime>2</TotalTime>
  <ScaleCrop>false</ScaleCrop>
  <LinksUpToDate>false</LinksUpToDate>
  <CharactersWithSpaces>2480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一别两宽</cp:lastModifiedBy>
  <cp:lastPrinted>2020-07-27T08:28:18Z</cp:lastPrinted>
  <dcterms:modified xsi:type="dcterms:W3CDTF">2020-07-27T08:30:09Z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