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4" w:firstLineChars="1000"/>
        <w:jc w:val="both"/>
        <w:rPr>
          <w:rFonts w:hint="eastAsia" w:ascii="仿宋" w:hAnsi="仿宋" w:eastAsia="仿宋" w:cs="仿宋"/>
          <w:b/>
          <w:bCs/>
          <w:color w:val="000000"/>
          <w:sz w:val="36"/>
          <w:szCs w:val="36"/>
        </w:rPr>
      </w:pPr>
      <w:r>
        <w:rPr>
          <w:rFonts w:hint="eastAsia" w:ascii="仿宋" w:hAnsi="仿宋" w:eastAsia="仿宋" w:cs="仿宋"/>
          <w:b/>
          <w:bCs/>
          <w:color w:val="000000"/>
          <w:sz w:val="36"/>
          <w:szCs w:val="36"/>
          <w:lang w:eastAsia="zh-CN"/>
        </w:rPr>
        <w:t>竞价</w:t>
      </w:r>
      <w:r>
        <w:rPr>
          <w:rFonts w:hint="eastAsia" w:ascii="仿宋" w:hAnsi="仿宋" w:eastAsia="仿宋" w:cs="仿宋"/>
          <w:b/>
          <w:bCs/>
          <w:color w:val="000000"/>
          <w:sz w:val="36"/>
          <w:szCs w:val="36"/>
        </w:rPr>
        <w:t>函</w:t>
      </w:r>
    </w:p>
    <w:p>
      <w:pPr>
        <w:ind w:firstLine="480" w:firstLineChars="200"/>
        <w:jc w:val="both"/>
        <w:rPr>
          <w:rFonts w:hint="eastAsia" w:ascii="仿宋" w:hAnsi="仿宋" w:eastAsia="仿宋" w:cs="仿宋"/>
          <w:color w:val="000000"/>
          <w:sz w:val="22"/>
          <w:szCs w:val="22"/>
        </w:rPr>
      </w:pPr>
      <w:r>
        <w:rPr>
          <w:rFonts w:hint="eastAsia" w:ascii="仿宋" w:hAnsi="仿宋" w:eastAsia="仿宋" w:cs="仿宋"/>
          <w:color w:val="000000"/>
          <w:sz w:val="24"/>
          <w:szCs w:val="24"/>
        </w:rPr>
        <w:t>我公司拟对</w:t>
      </w:r>
      <w:r>
        <w:rPr>
          <w:rFonts w:hint="eastAsia" w:ascii="仿宋" w:hAnsi="仿宋" w:eastAsia="仿宋" w:cs="仿宋"/>
          <w:b/>
          <w:bCs w:val="0"/>
          <w:color w:val="000000"/>
          <w:sz w:val="24"/>
          <w:szCs w:val="24"/>
          <w:u w:val="single"/>
        </w:rPr>
        <w:t>雅安城投</w:t>
      </w:r>
      <w:r>
        <w:rPr>
          <w:rFonts w:hint="eastAsia" w:ascii="仿宋" w:hAnsi="仿宋" w:eastAsia="仿宋" w:cs="仿宋"/>
          <w:b/>
          <w:bCs w:val="0"/>
          <w:color w:val="000000"/>
          <w:sz w:val="24"/>
          <w:szCs w:val="24"/>
          <w:u w:val="single"/>
          <w:lang w:val="en-US" w:eastAsia="zh-CN"/>
        </w:rPr>
        <w:t>供应链</w:t>
      </w:r>
      <w:r>
        <w:rPr>
          <w:rFonts w:hint="eastAsia" w:ascii="仿宋" w:hAnsi="仿宋" w:eastAsia="仿宋" w:cs="仿宋"/>
          <w:b/>
          <w:bCs w:val="0"/>
          <w:color w:val="000000"/>
          <w:sz w:val="24"/>
          <w:szCs w:val="24"/>
          <w:u w:val="single"/>
        </w:rPr>
        <w:t>有限公司</w:t>
      </w:r>
      <w:r>
        <w:rPr>
          <w:rFonts w:hint="eastAsia" w:ascii="仿宋" w:hAnsi="仿宋" w:eastAsia="仿宋" w:cs="仿宋"/>
          <w:b/>
          <w:bCs w:val="0"/>
          <w:color w:val="000000"/>
          <w:sz w:val="24"/>
          <w:szCs w:val="24"/>
          <w:u w:val="single"/>
          <w:lang w:val="en-US" w:eastAsia="zh-CN"/>
        </w:rPr>
        <w:t>级配碎石采购</w:t>
      </w:r>
      <w:r>
        <w:rPr>
          <w:rFonts w:hint="eastAsia" w:ascii="仿宋" w:hAnsi="仿宋" w:eastAsia="仿宋" w:cs="仿宋"/>
          <w:color w:val="000000"/>
          <w:sz w:val="24"/>
          <w:szCs w:val="24"/>
        </w:rPr>
        <w:t>进行</w:t>
      </w:r>
      <w:r>
        <w:rPr>
          <w:rFonts w:hint="eastAsia" w:ascii="仿宋" w:hAnsi="仿宋" w:eastAsia="仿宋" w:cs="仿宋"/>
          <w:color w:val="000000"/>
          <w:sz w:val="24"/>
          <w:szCs w:val="24"/>
          <w:lang w:eastAsia="zh-CN"/>
        </w:rPr>
        <w:t>竞价</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rPr>
        <w:t>，现诚邀遵守国家、地方有关法律、</w:t>
      </w:r>
      <w:r>
        <w:rPr>
          <w:rFonts w:hint="eastAsia" w:ascii="仿宋" w:hAnsi="仿宋" w:eastAsia="仿宋" w:cs="仿宋"/>
          <w:color w:val="000000"/>
          <w:sz w:val="24"/>
          <w:szCs w:val="24"/>
          <w:lang w:val="en-US" w:eastAsia="zh-CN"/>
        </w:rPr>
        <w:t>法</w:t>
      </w:r>
      <w:r>
        <w:rPr>
          <w:rFonts w:hint="eastAsia" w:ascii="仿宋" w:hAnsi="仿宋" w:eastAsia="仿宋" w:cs="仿宋"/>
          <w:color w:val="000000"/>
          <w:sz w:val="24"/>
          <w:szCs w:val="24"/>
        </w:rPr>
        <w:t>规，具有良好的商业信誉及服务能力的单位参加</w:t>
      </w:r>
      <w:r>
        <w:rPr>
          <w:rFonts w:hint="eastAsia" w:ascii="仿宋" w:hAnsi="仿宋" w:eastAsia="仿宋" w:cs="仿宋"/>
          <w:color w:val="000000"/>
          <w:sz w:val="22"/>
          <w:szCs w:val="22"/>
        </w:rPr>
        <w:t>。</w:t>
      </w:r>
    </w:p>
    <w:tbl>
      <w:tblPr>
        <w:tblStyle w:val="9"/>
        <w:tblW w:w="1006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2839"/>
        <w:gridCol w:w="1552"/>
        <w:gridCol w:w="4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063" w:type="dxa"/>
            <w:gridSpan w:val="4"/>
            <w:noWrap w:val="0"/>
            <w:vAlign w:val="top"/>
          </w:tcPr>
          <w:p>
            <w:pPr>
              <w:rPr>
                <w:rFonts w:hint="eastAsia" w:eastAsia="仿宋"/>
                <w:lang w:val="en-US" w:eastAsia="zh-CN"/>
              </w:rPr>
            </w:pPr>
            <w:r>
              <w:rPr>
                <w:rFonts w:hint="eastAsia" w:ascii="仿宋" w:hAnsi="仿宋" w:eastAsia="仿宋" w:cs="仿宋"/>
                <w:b/>
                <w:bCs/>
                <w:color w:val="000000"/>
                <w:sz w:val="24"/>
                <w:szCs w:val="24"/>
                <w:u w:val="none"/>
                <w:lang w:val="en-US" w:eastAsia="zh-CN"/>
              </w:rPr>
              <w:t>项目名称：</w:t>
            </w:r>
            <w:r>
              <w:rPr>
                <w:rFonts w:hint="eastAsia" w:ascii="仿宋" w:hAnsi="仿宋" w:eastAsia="仿宋" w:cs="仿宋"/>
                <w:b/>
                <w:bCs w:val="0"/>
                <w:color w:val="000000"/>
                <w:sz w:val="24"/>
                <w:szCs w:val="24"/>
                <w:u w:val="none"/>
              </w:rPr>
              <w:t>雅安城投</w:t>
            </w:r>
            <w:r>
              <w:rPr>
                <w:rFonts w:hint="eastAsia" w:ascii="仿宋" w:hAnsi="仿宋" w:eastAsia="仿宋" w:cs="仿宋"/>
                <w:b/>
                <w:bCs w:val="0"/>
                <w:color w:val="000000"/>
                <w:sz w:val="24"/>
                <w:szCs w:val="24"/>
                <w:u w:val="none"/>
                <w:lang w:val="en-US" w:eastAsia="zh-CN"/>
              </w:rPr>
              <w:t>供应链</w:t>
            </w:r>
            <w:r>
              <w:rPr>
                <w:rFonts w:hint="eastAsia" w:ascii="仿宋" w:hAnsi="仿宋" w:eastAsia="仿宋" w:cs="仿宋"/>
                <w:b/>
                <w:bCs w:val="0"/>
                <w:color w:val="000000"/>
                <w:sz w:val="24"/>
                <w:szCs w:val="24"/>
                <w:u w:val="none"/>
              </w:rPr>
              <w:t>有限公司</w:t>
            </w:r>
            <w:r>
              <w:rPr>
                <w:rFonts w:hint="eastAsia" w:ascii="仿宋" w:hAnsi="仿宋" w:eastAsia="仿宋" w:cs="仿宋"/>
                <w:b/>
                <w:bCs w:val="0"/>
                <w:color w:val="000000"/>
                <w:sz w:val="24"/>
                <w:szCs w:val="24"/>
                <w:u w:val="none"/>
                <w:lang w:val="en-US" w:eastAsia="zh-CN"/>
              </w:rPr>
              <w:t>级配碎石采购</w:t>
            </w:r>
          </w:p>
          <w:p>
            <w:pPr>
              <w:spacing w:line="500" w:lineRule="exact"/>
              <w:rPr>
                <w:rFonts w:hint="default" w:ascii="仿宋" w:hAnsi="仿宋" w:eastAsia="仿宋" w:cs="仿宋"/>
                <w:b/>
                <w:bCs/>
                <w:color w:val="000000"/>
                <w:kern w:val="1"/>
                <w:sz w:val="24"/>
                <w:szCs w:val="24"/>
                <w:u w:val="none"/>
                <w:lang w:val="en-US" w:eastAsia="zh-CN" w:bidi="ar-SA"/>
              </w:rPr>
            </w:pPr>
            <w:r>
              <w:rPr>
                <w:rFonts w:hint="eastAsia" w:ascii="仿宋" w:hAnsi="仿宋" w:eastAsia="仿宋" w:cs="仿宋"/>
                <w:b/>
                <w:bCs/>
                <w:color w:val="000000"/>
                <w:sz w:val="24"/>
                <w:szCs w:val="24"/>
                <w:u w:val="none"/>
                <w:lang w:val="en-US" w:eastAsia="zh-CN"/>
              </w:rPr>
              <w:t>项目地址：</w:t>
            </w:r>
            <w:r>
              <w:rPr>
                <w:rFonts w:hint="eastAsia" w:ascii="仿宋" w:hAnsi="仿宋" w:eastAsia="仿宋" w:cs="仿宋"/>
                <w:b/>
                <w:bCs/>
                <w:color w:val="000000"/>
                <w:kern w:val="1"/>
                <w:sz w:val="24"/>
                <w:szCs w:val="24"/>
                <w:u w:val="none"/>
                <w:lang w:val="en-US" w:eastAsia="zh-CN" w:bidi="ar-SA"/>
              </w:rPr>
              <w:t>雅安市草坝镇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063" w:type="dxa"/>
            <w:gridSpan w:val="4"/>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bCs w:val="0"/>
                <w:color w:val="000000"/>
                <w:sz w:val="24"/>
                <w:szCs w:val="24"/>
                <w:lang w:val="en-US" w:eastAsia="zh-CN"/>
              </w:rPr>
              <w:t>采购人</w:t>
            </w:r>
            <w:r>
              <w:rPr>
                <w:rFonts w:hint="eastAsia" w:ascii="仿宋" w:hAnsi="仿宋" w:eastAsia="仿宋" w:cs="仿宋"/>
                <w:b/>
                <w:bCs w:val="0"/>
                <w:color w:val="000000"/>
                <w:sz w:val="24"/>
                <w:szCs w:val="24"/>
              </w:rPr>
              <w:t>名称：</w:t>
            </w:r>
            <w:r>
              <w:rPr>
                <w:rFonts w:hint="eastAsia" w:ascii="仿宋" w:hAnsi="仿宋" w:eastAsia="仿宋" w:cs="仿宋"/>
                <w:b w:val="0"/>
                <w:bCs/>
                <w:color w:val="000000"/>
                <w:sz w:val="24"/>
                <w:szCs w:val="24"/>
              </w:rPr>
              <w:t>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451" w:type="dxa"/>
            <w:noWrap w:val="0"/>
            <w:vAlign w:val="top"/>
          </w:tcPr>
          <w:p>
            <w:pPr>
              <w:spacing w:line="500" w:lineRule="exact"/>
              <w:ind w:firstLine="482" w:firstLineChars="200"/>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联系人</w:t>
            </w:r>
          </w:p>
        </w:tc>
        <w:tc>
          <w:tcPr>
            <w:tcW w:w="2839" w:type="dxa"/>
            <w:tcBorders>
              <w:bottom w:val="single" w:color="auto" w:sz="4" w:space="0"/>
            </w:tcBorders>
            <w:noWrap w:val="0"/>
            <w:vAlign w:val="top"/>
          </w:tcPr>
          <w:p>
            <w:pPr>
              <w:spacing w:line="500" w:lineRule="exact"/>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汤先生、任女士</w:t>
            </w:r>
          </w:p>
        </w:tc>
        <w:tc>
          <w:tcPr>
            <w:tcW w:w="1552" w:type="dxa"/>
            <w:tcBorders>
              <w:bottom w:val="single" w:color="auto" w:sz="4" w:space="0"/>
            </w:tcBorders>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bCs w:val="0"/>
                <w:color w:val="000000"/>
                <w:sz w:val="24"/>
                <w:szCs w:val="24"/>
              </w:rPr>
              <w:t>联系方式</w:t>
            </w:r>
          </w:p>
        </w:tc>
        <w:tc>
          <w:tcPr>
            <w:tcW w:w="4221" w:type="dxa"/>
            <w:tcBorders>
              <w:bottom w:val="single" w:color="auto" w:sz="4" w:space="0"/>
            </w:tcBorders>
            <w:noWrap w:val="0"/>
            <w:vAlign w:val="top"/>
          </w:tcPr>
          <w:p>
            <w:pPr>
              <w:spacing w:line="500" w:lineRule="exact"/>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13402875184、17380462650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451" w:type="dxa"/>
            <w:noWrap w:val="0"/>
            <w:vAlign w:val="center"/>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采购</w:t>
            </w:r>
            <w:r>
              <w:rPr>
                <w:rFonts w:hint="eastAsia" w:ascii="仿宋" w:hAnsi="仿宋" w:eastAsia="仿宋" w:cs="仿宋"/>
                <w:b/>
                <w:bCs w:val="0"/>
                <w:color w:val="000000"/>
                <w:sz w:val="24"/>
                <w:szCs w:val="24"/>
              </w:rPr>
              <w:t>范围</w:t>
            </w:r>
            <w:r>
              <w:rPr>
                <w:rFonts w:hint="eastAsia" w:ascii="仿宋" w:hAnsi="仿宋" w:eastAsia="仿宋" w:cs="仿宋"/>
                <w:b/>
                <w:bCs w:val="0"/>
                <w:color w:val="000000"/>
                <w:sz w:val="24"/>
                <w:szCs w:val="24"/>
                <w:lang w:val="en-US" w:eastAsia="zh-CN"/>
              </w:rPr>
              <w:t xml:space="preserve">   </w:t>
            </w:r>
          </w:p>
          <w:p>
            <w:pPr>
              <w:spacing w:line="500" w:lineRule="exact"/>
              <w:jc w:val="center"/>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rPr>
              <w:t>要求描述</w:t>
            </w:r>
          </w:p>
        </w:tc>
        <w:tc>
          <w:tcPr>
            <w:tcW w:w="8612" w:type="dxa"/>
            <w:gridSpan w:val="3"/>
            <w:tcBorders>
              <w:bottom w:val="single" w:color="auto" w:sz="4" w:space="0"/>
            </w:tcBorders>
            <w:noWrap w:val="0"/>
            <w:vAlign w:val="top"/>
          </w:tcPr>
          <w:p>
            <w:pPr>
              <w:numPr>
                <w:ilvl w:val="0"/>
                <w:numId w:val="2"/>
              </w:numPr>
              <w:rPr>
                <w:rFonts w:hint="default" w:ascii="仿宋" w:hAnsi="仿宋" w:eastAsia="仿宋" w:cs="仿宋"/>
                <w:b/>
                <w:bCs w:val="0"/>
                <w:color w:val="auto"/>
                <w:sz w:val="24"/>
                <w:szCs w:val="24"/>
                <w:lang w:val="en-US"/>
              </w:rPr>
            </w:pPr>
            <w:r>
              <w:rPr>
                <w:rFonts w:hint="eastAsia" w:ascii="仿宋" w:hAnsi="仿宋" w:eastAsia="仿宋" w:cs="仿宋"/>
                <w:b/>
                <w:bCs w:val="0"/>
                <w:color w:val="auto"/>
                <w:sz w:val="24"/>
                <w:szCs w:val="24"/>
                <w:lang w:val="en-US" w:eastAsia="zh-CN"/>
              </w:rPr>
              <w:t>本次采购范围：</w:t>
            </w:r>
            <w:r>
              <w:rPr>
                <w:rFonts w:hint="eastAsia" w:ascii="仿宋" w:hAnsi="仿宋" w:eastAsia="仿宋" w:cs="仿宋"/>
                <w:b/>
                <w:bCs w:val="0"/>
                <w:color w:val="000000"/>
                <w:sz w:val="24"/>
                <w:szCs w:val="24"/>
                <w:u w:val="none"/>
                <w:lang w:val="en-US" w:eastAsia="zh-CN"/>
              </w:rPr>
              <w:t>级配碎石</w:t>
            </w:r>
            <w:r>
              <w:rPr>
                <w:rFonts w:hint="eastAsia" w:ascii="仿宋" w:hAnsi="仿宋" w:eastAsia="仿宋" w:cs="仿宋"/>
                <w:b/>
                <w:bCs/>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451" w:type="dxa"/>
            <w:noWrap w:val="0"/>
            <w:vAlign w:val="center"/>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供货周期</w:t>
            </w: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质量要求等 </w:t>
            </w:r>
          </w:p>
        </w:tc>
        <w:tc>
          <w:tcPr>
            <w:tcW w:w="8612" w:type="dxa"/>
            <w:gridSpan w:val="3"/>
            <w:tcBorders>
              <w:top w:val="single" w:color="auto" w:sz="4" w:space="0"/>
            </w:tcBorders>
            <w:noWrap w:val="0"/>
            <w:vAlign w:val="top"/>
          </w:tcPr>
          <w:p>
            <w:pPr>
              <w:numPr>
                <w:ilvl w:val="0"/>
                <w:numId w:val="0"/>
              </w:numPr>
              <w:adjustRightInd w:val="0"/>
              <w:snapToGrid w:val="0"/>
              <w:ind w:left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1、供货周期：以甲方通知时间为准(具体以项目实际进度为准)。</w:t>
            </w:r>
          </w:p>
          <w:p>
            <w:pPr>
              <w:numPr>
                <w:ilvl w:val="0"/>
                <w:numId w:val="0"/>
              </w:numPr>
              <w:adjustRightInd w:val="0"/>
              <w:snapToGrid w:val="0"/>
              <w:ind w:left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2、质量要求：石执行标准：GB/Ｔ14685-2022《建设用卵石、碎石》，以及国家、地方相关现行有效法律法规、标准规范及所供应项目的使用要求。符合国家标准及项目使用要求，提供产品检测报告等资料。</w:t>
            </w:r>
          </w:p>
          <w:p>
            <w:pPr>
              <w:numPr>
                <w:ilvl w:val="0"/>
                <w:numId w:val="0"/>
              </w:numPr>
              <w:adjustRightInd w:val="0"/>
              <w:snapToGrid w:val="0"/>
              <w:ind w:left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3、投标人承诺所送产品均为合法来源，具有合法手续。</w:t>
            </w:r>
          </w:p>
          <w:p>
            <w:pPr>
              <w:numPr>
                <w:ilvl w:val="0"/>
                <w:numId w:val="0"/>
              </w:numPr>
              <w:adjustRightInd w:val="0"/>
              <w:snapToGrid w:val="0"/>
              <w:ind w:leftChars="0"/>
              <w:rPr>
                <w:rFonts w:hint="eastAsia"/>
                <w:lang w:val="en-US" w:eastAsia="zh-CN"/>
              </w:rPr>
            </w:pPr>
            <w:r>
              <w:rPr>
                <w:rFonts w:hint="eastAsia" w:ascii="仿宋" w:hAnsi="仿宋" w:eastAsia="仿宋" w:cs="仿宋"/>
                <w:b/>
                <w:bCs/>
                <w:color w:val="auto"/>
                <w:sz w:val="24"/>
                <w:szCs w:val="24"/>
                <w:lang w:val="en-US" w:eastAsia="zh-CN"/>
              </w:rPr>
              <w:t>4、</w:t>
            </w:r>
            <w:r>
              <w:rPr>
                <w:rFonts w:hint="eastAsia" w:ascii="仿宋" w:hAnsi="仿宋" w:eastAsia="仿宋" w:cs="仿宋"/>
                <w:b/>
                <w:bCs w:val="0"/>
                <w:color w:val="000000"/>
                <w:sz w:val="24"/>
                <w:szCs w:val="24"/>
                <w:u w:val="none"/>
                <w:lang w:val="en-US" w:eastAsia="zh-CN"/>
              </w:rPr>
              <w:t>级配碎石</w:t>
            </w:r>
            <w:r>
              <w:rPr>
                <w:rFonts w:hint="eastAsia" w:ascii="仿宋" w:hAnsi="仿宋" w:eastAsia="仿宋" w:cs="仿宋"/>
                <w:b/>
                <w:bCs/>
                <w:color w:val="auto"/>
                <w:sz w:val="24"/>
                <w:szCs w:val="24"/>
                <w:lang w:val="en-US" w:eastAsia="zh-CN"/>
              </w:rPr>
              <w:t>材料投标人在开标完成后，根据项目的使用要求送样，送样满足项目使用要求后再与其签订合同，如若送样不满足项目使用要求，则甲方取消其中标资格，不予签订合同。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2" w:hRule="atLeast"/>
        </w:trPr>
        <w:tc>
          <w:tcPr>
            <w:tcW w:w="1451" w:type="dxa"/>
            <w:noWrap w:val="0"/>
            <w:vAlign w:val="center"/>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资格条件</w:t>
            </w:r>
            <w:r>
              <w:rPr>
                <w:rFonts w:hint="eastAsia" w:ascii="仿宋" w:hAnsi="仿宋" w:eastAsia="仿宋" w:cs="仿宋"/>
                <w:b/>
                <w:bCs w:val="0"/>
                <w:color w:val="000000"/>
                <w:sz w:val="24"/>
                <w:szCs w:val="24"/>
              </w:rPr>
              <w:t>要求</w:t>
            </w:r>
          </w:p>
        </w:tc>
        <w:tc>
          <w:tcPr>
            <w:tcW w:w="8612" w:type="dxa"/>
            <w:gridSpan w:val="3"/>
            <w:noWrap w:val="0"/>
            <w:vAlign w:val="top"/>
          </w:tcPr>
          <w:p>
            <w:pPr>
              <w:numPr>
                <w:ilvl w:val="0"/>
                <w:numId w:val="0"/>
              </w:numPr>
              <w:spacing w:line="5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（一）资格要求</w:t>
            </w:r>
          </w:p>
          <w:p>
            <w:pPr>
              <w:spacing w:line="500" w:lineRule="exact"/>
              <w:jc w:val="left"/>
              <w:rPr>
                <w:rFonts w:hint="eastAsia" w:ascii="仿宋" w:hAnsi="仿宋" w:eastAsia="仿宋" w:cs="仿宋"/>
                <w:sz w:val="24"/>
                <w:szCs w:val="24"/>
                <w:lang w:eastAsia="zh-CN"/>
              </w:rPr>
            </w:pPr>
            <w:r>
              <w:rPr>
                <w:rFonts w:hint="eastAsia" w:ascii="仿宋" w:hAnsi="仿宋" w:eastAsia="仿宋" w:cs="仿宋"/>
                <w:sz w:val="24"/>
                <w:szCs w:val="24"/>
              </w:rPr>
              <w:t>（1）投标人应是经国家工商行政管理部门登记注册，并具有完成本项目供货能力的具有独立的法人资格并持有合法有效的营业执照</w:t>
            </w:r>
            <w:r>
              <w:rPr>
                <w:rFonts w:hint="eastAsia" w:ascii="仿宋" w:hAnsi="仿宋" w:eastAsia="仿宋" w:cs="仿宋"/>
                <w:sz w:val="24"/>
                <w:szCs w:val="24"/>
                <w:lang w:eastAsia="zh-CN"/>
              </w:rPr>
              <w:t>；</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（2）具有良好的商业信誉和健全的财务会计制度；</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（4）有依法缴纳税收和社会保障资金的良好记录；</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（5）参加本次</w:t>
            </w:r>
            <w:r>
              <w:rPr>
                <w:rFonts w:hint="eastAsia" w:ascii="仿宋" w:hAnsi="仿宋" w:eastAsia="仿宋" w:cs="仿宋"/>
                <w:sz w:val="24"/>
                <w:szCs w:val="24"/>
                <w:lang w:eastAsia="zh-CN"/>
              </w:rPr>
              <w:t>竞争投标</w:t>
            </w:r>
            <w:r>
              <w:rPr>
                <w:rFonts w:hint="eastAsia" w:ascii="仿宋" w:hAnsi="仿宋" w:eastAsia="仿宋" w:cs="仿宋"/>
                <w:sz w:val="24"/>
                <w:szCs w:val="24"/>
              </w:rPr>
              <w:t>前三年内，在经营活动中没有重大违法记录；</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（6）法律、行政法规规定的其他条件。</w:t>
            </w:r>
          </w:p>
          <w:p>
            <w:pPr>
              <w:spacing w:line="5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（7）本项目参加招投标活动的投标人在前三年内不得具有行贿犯罪记录。</w:t>
            </w:r>
          </w:p>
          <w:p>
            <w:pPr>
              <w:spacing w:line="5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（8）未被列入失信被执行人。</w:t>
            </w:r>
          </w:p>
          <w:p>
            <w:pPr>
              <w:spacing w:line="500" w:lineRule="exact"/>
              <w:jc w:val="left"/>
              <w:rPr>
                <w:rFonts w:hint="default"/>
                <w:lang w:val="en-US" w:eastAsia="zh-CN"/>
              </w:rPr>
            </w:pPr>
            <w:r>
              <w:rPr>
                <w:rFonts w:hint="eastAsia" w:ascii="仿宋" w:hAnsi="仿宋" w:eastAsia="仿宋" w:cs="仿宋"/>
                <w:sz w:val="24"/>
                <w:szCs w:val="24"/>
                <w:lang w:val="en-US" w:eastAsia="zh-CN"/>
              </w:rPr>
              <w:t>以上资格条件要求提供承诺函即可。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51" w:type="dxa"/>
            <w:noWrap w:val="0"/>
            <w:vAlign w:val="top"/>
          </w:tcPr>
          <w:p>
            <w:pPr>
              <w:spacing w:line="500" w:lineRule="exact"/>
              <w:jc w:val="left"/>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挂网日期</w:t>
            </w:r>
          </w:p>
        </w:tc>
        <w:tc>
          <w:tcPr>
            <w:tcW w:w="8612" w:type="dxa"/>
            <w:gridSpan w:val="3"/>
            <w:noWrap w:val="0"/>
            <w:vAlign w:val="top"/>
          </w:tcPr>
          <w:p>
            <w:pPr>
              <w:spacing w:line="500" w:lineRule="exact"/>
              <w:jc w:val="left"/>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2024年6月24日—2024年6月27日 （北京时间）。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51" w:type="dxa"/>
            <w:noWrap w:val="0"/>
            <w:vAlign w:val="top"/>
          </w:tcPr>
          <w:p>
            <w:pPr>
              <w:spacing w:line="500" w:lineRule="exact"/>
              <w:jc w:val="center"/>
              <w:rPr>
                <w:rFonts w:hint="eastAsia" w:ascii="仿宋" w:hAnsi="仿宋" w:eastAsia="仿宋" w:cs="仿宋"/>
                <w:b/>
                <w:bCs w:val="0"/>
                <w:color w:val="000000"/>
                <w:sz w:val="24"/>
                <w:szCs w:val="24"/>
              </w:rPr>
            </w:pPr>
          </w:p>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报价要求</w:t>
            </w:r>
          </w:p>
        </w:tc>
        <w:tc>
          <w:tcPr>
            <w:tcW w:w="8612" w:type="dxa"/>
            <w:gridSpan w:val="3"/>
            <w:noWrap w:val="0"/>
            <w:vAlign w:val="top"/>
          </w:tcPr>
          <w:p>
            <w:pPr>
              <w:numPr>
                <w:ilvl w:val="0"/>
                <w:numId w:val="0"/>
              </w:numPr>
              <w:shd w:val="clear"/>
              <w:snapToGrid/>
              <w:spacing w:before="0" w:beforeAutospacing="0" w:after="0" w:afterAutospacing="0" w:line="240" w:lineRule="auto"/>
              <w:jc w:val="both"/>
              <w:textAlignment w:val="baseline"/>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1、最高限价（不含税）：</w:t>
            </w:r>
            <w:r>
              <w:rPr>
                <w:rFonts w:hint="eastAsia" w:ascii="仿宋" w:hAnsi="仿宋" w:eastAsia="仿宋" w:cs="仿宋"/>
                <w:b/>
                <w:bCs w:val="0"/>
                <w:color w:val="000000"/>
                <w:sz w:val="24"/>
                <w:szCs w:val="24"/>
                <w:u w:val="single"/>
                <w:lang w:val="en-US" w:eastAsia="zh-CN"/>
              </w:rPr>
              <w:t>960000.00元</w:t>
            </w:r>
            <w:r>
              <w:rPr>
                <w:rFonts w:hint="eastAsia" w:ascii="仿宋" w:hAnsi="仿宋" w:eastAsia="仿宋" w:cs="仿宋"/>
                <w:b/>
                <w:bCs w:val="0"/>
                <w:color w:val="000000"/>
                <w:sz w:val="24"/>
                <w:szCs w:val="24"/>
                <w:u w:val="none"/>
                <w:lang w:val="en-US" w:eastAsia="zh-CN"/>
              </w:rPr>
              <w:t>。</w:t>
            </w:r>
            <w:r>
              <w:rPr>
                <w:rFonts w:hint="eastAsia" w:ascii="仿宋" w:hAnsi="仿宋" w:eastAsia="仿宋" w:cs="仿宋"/>
                <w:b w:val="0"/>
                <w:bCs/>
                <w:color w:val="000000"/>
                <w:sz w:val="24"/>
                <w:szCs w:val="24"/>
                <w:lang w:val="en-US" w:eastAsia="zh-CN"/>
              </w:rPr>
              <w:t>竞价单位自主报价，投标报价不得超过最高限价。超过最高限价,其响应文件按无效处理。</w:t>
            </w:r>
          </w:p>
          <w:p>
            <w:pPr>
              <w:numPr>
                <w:ilvl w:val="0"/>
                <w:numId w:val="2"/>
              </w:numPr>
              <w:autoSpaceDE w:val="0"/>
              <w:autoSpaceDN w:val="0"/>
              <w:snapToGrid w:val="0"/>
              <w:spacing w:line="500" w:lineRule="exact"/>
              <w:ind w:left="0" w:leftChars="0" w:firstLine="0" w:firstLineChars="0"/>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rPr>
              <w:t>报价必须按照</w:t>
            </w:r>
            <w:r>
              <w:rPr>
                <w:rFonts w:hint="eastAsia" w:ascii="仿宋" w:hAnsi="仿宋" w:eastAsia="仿宋" w:cs="仿宋"/>
                <w:b w:val="0"/>
                <w:bCs/>
                <w:color w:val="000000"/>
                <w:sz w:val="24"/>
                <w:szCs w:val="24"/>
                <w:lang w:val="en-US" w:eastAsia="zh-CN"/>
              </w:rPr>
              <w:t>采购人</w:t>
            </w:r>
            <w:r>
              <w:rPr>
                <w:rFonts w:hint="eastAsia" w:ascii="仿宋" w:hAnsi="仿宋" w:eastAsia="仿宋" w:cs="仿宋"/>
                <w:b w:val="0"/>
                <w:bCs/>
                <w:color w:val="000000"/>
                <w:sz w:val="24"/>
                <w:szCs w:val="24"/>
              </w:rPr>
              <w:t>提供的</w:t>
            </w:r>
            <w:r>
              <w:rPr>
                <w:rFonts w:hint="eastAsia" w:ascii="仿宋" w:hAnsi="仿宋" w:eastAsia="仿宋" w:cs="仿宋"/>
                <w:b w:val="0"/>
                <w:bCs/>
                <w:color w:val="000000"/>
                <w:sz w:val="24"/>
                <w:szCs w:val="24"/>
                <w:lang w:val="en-US" w:eastAsia="zh-CN"/>
              </w:rPr>
              <w:t>报价清单</w:t>
            </w:r>
            <w:r>
              <w:rPr>
                <w:rFonts w:hint="eastAsia" w:ascii="仿宋" w:hAnsi="仿宋" w:eastAsia="仿宋" w:cs="仿宋"/>
                <w:b w:val="0"/>
                <w:bCs/>
                <w:color w:val="000000"/>
                <w:sz w:val="24"/>
                <w:szCs w:val="24"/>
              </w:rPr>
              <w:t>及其附件要求报价，</w:t>
            </w:r>
            <w:r>
              <w:rPr>
                <w:rFonts w:hint="eastAsia" w:ascii="仿宋" w:hAnsi="仿宋" w:eastAsia="仿宋" w:cs="仿宋"/>
                <w:b w:val="0"/>
                <w:bCs/>
                <w:color w:val="000000"/>
                <w:sz w:val="24"/>
                <w:szCs w:val="24"/>
                <w:lang w:val="en-US" w:eastAsia="zh-CN"/>
              </w:rPr>
              <w:t>竞价</w:t>
            </w:r>
            <w:r>
              <w:rPr>
                <w:rFonts w:hint="eastAsia" w:ascii="仿宋" w:hAnsi="仿宋" w:eastAsia="仿宋" w:cs="仿宋"/>
                <w:b w:val="0"/>
                <w:bCs/>
                <w:color w:val="000000"/>
                <w:sz w:val="24"/>
                <w:szCs w:val="24"/>
              </w:rPr>
              <w:t>单位私自变更内容，甲方</w:t>
            </w:r>
            <w:r>
              <w:rPr>
                <w:rFonts w:hint="eastAsia" w:ascii="仿宋" w:hAnsi="仿宋" w:eastAsia="仿宋" w:cs="仿宋"/>
                <w:b w:val="0"/>
                <w:bCs/>
                <w:color w:val="000000"/>
                <w:sz w:val="24"/>
                <w:szCs w:val="24"/>
                <w:lang w:val="en-US" w:eastAsia="zh-CN"/>
              </w:rPr>
              <w:t>可</w:t>
            </w:r>
            <w:r>
              <w:rPr>
                <w:rFonts w:hint="eastAsia" w:ascii="仿宋" w:hAnsi="仿宋" w:eastAsia="仿宋" w:cs="仿宋"/>
                <w:b w:val="0"/>
                <w:bCs/>
                <w:color w:val="000000"/>
                <w:sz w:val="24"/>
                <w:szCs w:val="24"/>
              </w:rPr>
              <w:t>有权拒绝</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lang w:val="en-US" w:eastAsia="zh-CN"/>
              </w:rPr>
              <w:t>甲方认可的除外</w:t>
            </w:r>
            <w:r>
              <w:rPr>
                <w:rFonts w:hint="eastAsia" w:ascii="仿宋" w:hAnsi="仿宋" w:eastAsia="仿宋" w:cs="仿宋"/>
                <w:b w:val="0"/>
                <w:bCs/>
                <w:color w:val="000000"/>
                <w:sz w:val="24"/>
                <w:szCs w:val="24"/>
                <w:lang w:eastAsia="zh-CN"/>
              </w:rPr>
              <w:t>）</w:t>
            </w:r>
            <w:r>
              <w:rPr>
                <w:rFonts w:hint="eastAsia" w:ascii="仿宋" w:hAnsi="仿宋" w:eastAsia="仿宋" w:cs="仿宋"/>
                <w:b w:val="0"/>
                <w:bCs/>
                <w:color w:val="000000"/>
                <w:sz w:val="24"/>
                <w:szCs w:val="24"/>
              </w:rPr>
              <w:t>。</w:t>
            </w:r>
          </w:p>
          <w:p>
            <w:pPr>
              <w:numPr>
                <w:ilvl w:val="0"/>
                <w:numId w:val="2"/>
              </w:numPr>
              <w:autoSpaceDE w:val="0"/>
              <w:autoSpaceDN w:val="0"/>
              <w:snapToGrid w:val="0"/>
              <w:spacing w:line="500" w:lineRule="exact"/>
              <w:ind w:left="0" w:leftChars="0" w:firstLine="0" w:firstLineChars="0"/>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报价时：小数点后须保留2位有效数字。</w:t>
            </w:r>
          </w:p>
          <w:p>
            <w:pPr>
              <w:pStyle w:val="2"/>
              <w:rPr>
                <w:rFonts w:hint="eastAsia"/>
                <w:lang w:val="en-US" w:eastAsia="zh-CN"/>
              </w:rPr>
            </w:pPr>
            <w:r>
              <w:rPr>
                <w:rFonts w:hint="eastAsia" w:ascii="仿宋" w:hAnsi="仿宋" w:eastAsia="仿宋" w:cs="仿宋"/>
                <w:b/>
                <w:bCs w:val="0"/>
                <w:color w:val="auto"/>
                <w:sz w:val="36"/>
                <w:szCs w:val="36"/>
                <w:lang w:val="en-US" w:eastAsia="zh-CN"/>
              </w:rPr>
              <w:t>★</w:t>
            </w:r>
            <w:r>
              <w:rPr>
                <w:rFonts w:hint="eastAsia" w:ascii="仿宋" w:hAnsi="仿宋" w:eastAsia="仿宋" w:cs="仿宋"/>
                <w:b/>
                <w:bCs w:val="0"/>
                <w:color w:val="000000"/>
                <w:sz w:val="24"/>
                <w:szCs w:val="24"/>
                <w:lang w:val="en-US" w:eastAsia="zh-CN"/>
              </w:rPr>
              <w:t>注：本项目报价有第二次报价，第二次报价根据实际情况现场填写。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51" w:type="dxa"/>
            <w:noWrap w:val="0"/>
            <w:vAlign w:val="top"/>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报价说明</w:t>
            </w:r>
          </w:p>
        </w:tc>
        <w:tc>
          <w:tcPr>
            <w:tcW w:w="8612" w:type="dxa"/>
            <w:gridSpan w:val="3"/>
            <w:noWrap w:val="0"/>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综合单价为材料到场固定不含税单价，包含但不限于材料费、运杂费、管理费、利润、安全风险费用、服务费、上下车费、垫资所需的资金占用利息费、售后服务费等抵达甲方指定地点的所有费用）。不论任何因素，在完成末次结算前，甲方除应付货款外，不需再支付其他费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响应文件中报价如果出现计算上或累加上的算术错误，可按以下原则进行修改：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（1）用数字表示的金额和用文字表示的金额不一致，应以文字表示的金额为准。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（2）单价和数量的乘积与总价不一致时，以单价为准，并修正总价。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（3）单价金额小数点有明显错误的，以总价为准，修正单价。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按上述修正错误的方法调整的报价应对竞价单位具有约束力。如果竞价单位不接受修正后的价格，其响应文件无效处理（即废标）。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rPr>
            </w:pPr>
            <w:r>
              <w:rPr>
                <w:rFonts w:hint="eastAsia" w:ascii="仿宋" w:hAnsi="仿宋" w:eastAsia="仿宋" w:cs="仿宋"/>
                <w:b w:val="0"/>
                <w:bCs/>
                <w:color w:val="000000"/>
                <w:sz w:val="24"/>
                <w:szCs w:val="24"/>
                <w:lang w:val="en-US" w:eastAsia="zh-CN"/>
              </w:rPr>
              <w:t>竞价单位确认采取书面且加盖单位公章或者竞价单位授权代表签字的方式。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1451"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响应文件   </w:t>
            </w:r>
          </w:p>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制作要求</w:t>
            </w:r>
          </w:p>
        </w:tc>
        <w:tc>
          <w:tcPr>
            <w:tcW w:w="8612" w:type="dxa"/>
            <w:gridSpan w:val="3"/>
            <w:noWrap w:val="0"/>
            <w:vAlign w:val="top"/>
          </w:tcPr>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竞价单位</w:t>
            </w:r>
            <w:r>
              <w:rPr>
                <w:rFonts w:hint="eastAsia" w:ascii="仿宋" w:hAnsi="仿宋" w:eastAsia="仿宋" w:cs="仿宋"/>
                <w:b/>
                <w:bCs w:val="0"/>
                <w:color w:val="000000"/>
                <w:sz w:val="24"/>
                <w:szCs w:val="24"/>
              </w:rPr>
              <w:t>提供的</w:t>
            </w:r>
            <w:r>
              <w:rPr>
                <w:rFonts w:hint="eastAsia" w:ascii="仿宋" w:hAnsi="仿宋" w:eastAsia="仿宋" w:cs="仿宋"/>
                <w:b/>
                <w:bCs w:val="0"/>
                <w:color w:val="000000"/>
                <w:sz w:val="24"/>
                <w:szCs w:val="24"/>
                <w:lang w:val="en-US" w:eastAsia="zh-CN"/>
              </w:rPr>
              <w:t>响应</w:t>
            </w:r>
            <w:r>
              <w:rPr>
                <w:rFonts w:hint="eastAsia" w:ascii="仿宋" w:hAnsi="仿宋" w:eastAsia="仿宋" w:cs="仿宋"/>
                <w:b/>
                <w:bCs w:val="0"/>
                <w:color w:val="000000"/>
                <w:sz w:val="24"/>
                <w:szCs w:val="24"/>
              </w:rPr>
              <w:t>文件包括：</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1</w:t>
            </w: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响应</w:t>
            </w:r>
            <w:r>
              <w:rPr>
                <w:rFonts w:hint="eastAsia" w:ascii="仿宋" w:hAnsi="仿宋" w:eastAsia="仿宋" w:cs="仿宋"/>
                <w:b/>
                <w:bCs w:val="0"/>
                <w:color w:val="000000"/>
                <w:sz w:val="24"/>
                <w:szCs w:val="24"/>
              </w:rPr>
              <w:t>函</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lang w:eastAsia="zh-CN"/>
              </w:rPr>
            </w:pP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2</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营业执照</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3</w:t>
            </w:r>
            <w:r>
              <w:rPr>
                <w:rFonts w:hint="eastAsia" w:ascii="仿宋" w:hAnsi="仿宋" w:eastAsia="仿宋" w:cs="仿宋"/>
                <w:b/>
                <w:bCs w:val="0"/>
                <w:color w:val="000000"/>
                <w:sz w:val="24"/>
                <w:szCs w:val="24"/>
              </w:rPr>
              <w:t>）承诺函</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4</w:t>
            </w:r>
            <w:r>
              <w:rPr>
                <w:rFonts w:hint="eastAsia" w:ascii="仿宋" w:hAnsi="仿宋" w:eastAsia="仿宋" w:cs="仿宋"/>
                <w:b/>
                <w:bCs w:val="0"/>
                <w:color w:val="000000"/>
                <w:sz w:val="24"/>
                <w:szCs w:val="24"/>
              </w:rPr>
              <w:t>）法定代表人身份证明（适用于法定代表人竞价）</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w:t>
            </w:r>
            <w:r>
              <w:rPr>
                <w:rFonts w:hint="eastAsia" w:ascii="仿宋" w:hAnsi="仿宋" w:eastAsia="仿宋" w:cs="仿宋"/>
                <w:b/>
                <w:bCs w:val="0"/>
                <w:color w:val="000000"/>
                <w:sz w:val="24"/>
                <w:szCs w:val="24"/>
                <w:lang w:val="en-US" w:eastAsia="zh-CN"/>
              </w:rPr>
              <w:t>5</w:t>
            </w:r>
            <w:r>
              <w:rPr>
                <w:rFonts w:hint="eastAsia" w:ascii="仿宋" w:hAnsi="仿宋" w:eastAsia="仿宋" w:cs="仿宋"/>
                <w:b/>
                <w:bCs w:val="0"/>
                <w:color w:val="000000"/>
                <w:sz w:val="24"/>
                <w:szCs w:val="24"/>
              </w:rPr>
              <w:t>）授权委托书</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rPr>
              <w:t>适用于授权委托人竞价</w:t>
            </w:r>
            <w:r>
              <w:rPr>
                <w:rFonts w:hint="eastAsia" w:ascii="仿宋" w:hAnsi="仿宋" w:eastAsia="仿宋" w:cs="仿宋"/>
                <w:b/>
                <w:bCs w:val="0"/>
                <w:color w:val="000000"/>
                <w:sz w:val="24"/>
                <w:szCs w:val="24"/>
                <w:lang w:eastAsia="zh-CN"/>
              </w:rPr>
              <w:t>）</w:t>
            </w:r>
          </w:p>
          <w:p>
            <w:pPr>
              <w:snapToGrid/>
              <w:spacing w:before="0" w:beforeAutospacing="0" w:after="0" w:afterAutospacing="0" w:line="240" w:lineRule="auto"/>
              <w:jc w:val="both"/>
              <w:textAlignment w:val="baseline"/>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（6）报价清单</w:t>
            </w:r>
          </w:p>
          <w:p>
            <w:pPr>
              <w:pStyle w:val="2"/>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（7）相关业绩证明（非实质性响应）</w:t>
            </w:r>
          </w:p>
          <w:p>
            <w:pP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上述组成附件均需加盖公司公章。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451"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响应文件  </w:t>
            </w: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 xml:space="preserve"> 密封和标注</w:t>
            </w:r>
          </w:p>
        </w:tc>
        <w:tc>
          <w:tcPr>
            <w:tcW w:w="8612" w:type="dxa"/>
            <w:gridSpan w:val="3"/>
            <w:noWrap w:val="0"/>
            <w:vAlign w:val="top"/>
          </w:tcPr>
          <w:p>
            <w:pPr>
              <w:pStyle w:val="15"/>
              <w:numPr>
                <w:ilvl w:val="1"/>
                <w:numId w:val="0"/>
              </w:numPr>
              <w:ind w:leftChars="0"/>
              <w:rPr>
                <w:rFonts w:hint="eastAsia" w:ascii="仿宋" w:hAnsi="仿宋" w:eastAsia="仿宋" w:cs="仿宋"/>
                <w:b/>
                <w:bCs w:val="0"/>
                <w:color w:val="000000"/>
                <w:kern w:val="2"/>
                <w:sz w:val="24"/>
                <w:szCs w:val="24"/>
                <w:lang w:val="en-US" w:eastAsia="zh-CN" w:bidi="ar-SA"/>
              </w:rPr>
            </w:pPr>
            <w:r>
              <w:rPr>
                <w:rFonts w:hint="eastAsia" w:ascii="仿宋" w:hAnsi="仿宋" w:eastAsia="仿宋" w:cs="仿宋"/>
                <w:b/>
                <w:bCs w:val="0"/>
                <w:color w:val="000000"/>
                <w:kern w:val="2"/>
                <w:sz w:val="24"/>
                <w:szCs w:val="24"/>
                <w:lang w:val="en-US" w:eastAsia="zh-CN" w:bidi="ar-SA"/>
              </w:rPr>
              <w:t>（1）响应文件必须装订，不得散装或者合页装订。响应文件应根据采购人的要求制作，签署、盖章（每一页必须加盖公章），再行密封。</w:t>
            </w:r>
          </w:p>
          <w:p>
            <w:pP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kern w:val="2"/>
                <w:sz w:val="24"/>
                <w:szCs w:val="24"/>
                <w:lang w:val="en-US" w:eastAsia="zh-CN" w:bidi="ar-SA"/>
              </w:rPr>
              <w:t>（2）未按以上要求进行编制、签署的响应文件，采购人将拒收。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51" w:type="dxa"/>
            <w:noWrap w:val="0"/>
            <w:vAlign w:val="top"/>
          </w:tcPr>
          <w:p>
            <w:pPr>
              <w:keepNext w:val="0"/>
              <w:keepLines w:val="0"/>
              <w:widowControl/>
              <w:suppressLineNumbers w:val="0"/>
              <w:jc w:val="left"/>
              <w:rPr>
                <w:rFonts w:hint="eastAsia" w:ascii="仿宋" w:hAnsi="仿宋" w:eastAsia="仿宋" w:cs="仿宋"/>
                <w:b/>
                <w:bCs w:val="0"/>
                <w:color w:val="000000"/>
                <w:sz w:val="24"/>
                <w:szCs w:val="24"/>
                <w:lang w:val="en-US" w:eastAsia="zh-CN"/>
              </w:rPr>
            </w:pPr>
          </w:p>
          <w:p>
            <w:pPr>
              <w:keepNext w:val="0"/>
              <w:keepLines w:val="0"/>
              <w:widowControl/>
              <w:suppressLineNumbers w:val="0"/>
              <w:jc w:val="left"/>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评审方法</w:t>
            </w:r>
          </w:p>
        </w:tc>
        <w:tc>
          <w:tcPr>
            <w:tcW w:w="8612" w:type="dxa"/>
            <w:gridSpan w:val="3"/>
            <w:noWrap w:val="0"/>
            <w:vAlign w:val="top"/>
          </w:tcPr>
          <w:p>
            <w:pPr>
              <w:numPr>
                <w:ilvl w:val="0"/>
                <w:numId w:val="4"/>
              </w:numP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本项目采用经评审的最低投标价法。按竞价单位的报价进行评审，评审结果以合理经济性的原则，推荐不超过</w:t>
            </w:r>
            <w:r>
              <w:rPr>
                <w:rFonts w:hint="eastAsia" w:ascii="仿宋" w:hAnsi="仿宋" w:eastAsia="仿宋" w:cs="仿宋"/>
                <w:b w:val="0"/>
                <w:bCs/>
                <w:color w:val="000000"/>
                <w:sz w:val="24"/>
                <w:szCs w:val="24"/>
                <w:highlight w:val="none"/>
                <w:lang w:val="en-US" w:eastAsia="zh-CN"/>
              </w:rPr>
              <w:t>3名（含3名）</w:t>
            </w:r>
            <w:r>
              <w:rPr>
                <w:rFonts w:hint="eastAsia" w:ascii="仿宋" w:hAnsi="仿宋" w:eastAsia="仿宋" w:cs="仿宋"/>
                <w:b w:val="0"/>
                <w:bCs/>
                <w:color w:val="000000"/>
                <w:sz w:val="24"/>
                <w:szCs w:val="24"/>
                <w:lang w:val="en-US" w:eastAsia="zh-CN"/>
              </w:rPr>
              <w:t>的中标候选人并出具评审报告。采购人在评审小组推荐的中标候选人名单中确定中标单位，达到优质采购的目的。</w:t>
            </w:r>
          </w:p>
          <w:p>
            <w:pPr>
              <w:numPr>
                <w:ilvl w:val="0"/>
                <w:numId w:val="4"/>
              </w:numPr>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采购人可在采购小组推荐的中选候选人名单中根据中选候选人报价、产品质量、付款周期、付款比例、垫资金额、自身履约情况、项目实际采购需求等因素综合考量后，确定中选单位，达到优质采购的目的。</w:t>
            </w:r>
          </w:p>
          <w:p>
            <w:pPr>
              <w:numPr>
                <w:ilvl w:val="0"/>
                <w:numId w:val="4"/>
              </w:numPr>
              <w:rPr>
                <w:rFonts w:hint="eastAsia"/>
                <w:lang w:val="en-US" w:eastAsia="zh-CN"/>
              </w:rPr>
            </w:pPr>
            <w:r>
              <w:rPr>
                <w:rFonts w:hint="eastAsia" w:ascii="仿宋" w:hAnsi="仿宋" w:eastAsia="仿宋" w:cs="仿宋"/>
                <w:b w:val="0"/>
                <w:bCs/>
                <w:color w:val="000000"/>
                <w:sz w:val="24"/>
                <w:szCs w:val="24"/>
                <w:lang w:val="en-US" w:eastAsia="zh-CN"/>
              </w:rPr>
              <w:t>采购人无需对评审过程及未中选原因做出解释，采购人有权利无条件终止采购。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51" w:type="dxa"/>
            <w:noWrap w:val="0"/>
            <w:vAlign w:val="top"/>
          </w:tcPr>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变更及漏项新增单价原则</w:t>
            </w:r>
          </w:p>
        </w:tc>
        <w:tc>
          <w:tcPr>
            <w:tcW w:w="8612"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1、供货金额以实际供货、验收合格的数量为准。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1" w:type="dxa"/>
            <w:noWrap w:val="0"/>
            <w:vAlign w:val="top"/>
          </w:tcPr>
          <w:p>
            <w:pPr>
              <w:spacing w:line="500" w:lineRule="exact"/>
              <w:ind w:left="241" w:hanging="241" w:hangingChars="100"/>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响应文件</w:t>
            </w:r>
          </w:p>
          <w:p>
            <w:pPr>
              <w:spacing w:line="500" w:lineRule="exact"/>
              <w:ind w:left="241" w:hanging="241" w:hangingChars="100"/>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递交</w:t>
            </w:r>
            <w:r>
              <w:rPr>
                <w:rFonts w:hint="eastAsia" w:ascii="仿宋" w:hAnsi="仿宋" w:eastAsia="仿宋" w:cs="仿宋"/>
                <w:b/>
                <w:bCs w:val="0"/>
                <w:color w:val="000000"/>
                <w:sz w:val="24"/>
                <w:szCs w:val="24"/>
              </w:rPr>
              <w:t>时间</w:t>
            </w:r>
            <w:r>
              <w:rPr>
                <w:rFonts w:hint="eastAsia" w:ascii="仿宋" w:hAnsi="仿宋" w:eastAsia="仿宋" w:cs="仿宋"/>
                <w:b/>
                <w:bCs w:val="0"/>
                <w:color w:val="000000"/>
                <w:sz w:val="24"/>
                <w:szCs w:val="24"/>
                <w:lang w:eastAsia="zh-CN"/>
              </w:rPr>
              <w:t>、</w:t>
            </w:r>
            <w:r>
              <w:rPr>
                <w:rFonts w:hint="eastAsia" w:ascii="仿宋" w:hAnsi="仿宋" w:eastAsia="仿宋" w:cs="仿宋"/>
                <w:b/>
                <w:bCs w:val="0"/>
                <w:color w:val="000000"/>
                <w:sz w:val="24"/>
                <w:szCs w:val="24"/>
                <w:lang w:val="en-US" w:eastAsia="zh-CN"/>
              </w:rPr>
              <w:t xml:space="preserve"> 地点</w:t>
            </w:r>
          </w:p>
        </w:tc>
        <w:tc>
          <w:tcPr>
            <w:tcW w:w="8612" w:type="dxa"/>
            <w:gridSpan w:val="3"/>
            <w:noWrap w:val="0"/>
            <w:vAlign w:val="top"/>
          </w:tcPr>
          <w:p>
            <w:pPr>
              <w:numPr>
                <w:ilvl w:val="0"/>
                <w:numId w:val="0"/>
              </w:numPr>
              <w:jc w:val="left"/>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★1、本次竞价方式：</w:t>
            </w:r>
            <w:r>
              <w:rPr>
                <w:rFonts w:hint="eastAsia" w:ascii="仿宋" w:hAnsi="仿宋" w:eastAsia="仿宋" w:cs="仿宋"/>
                <w:b/>
                <w:bCs w:val="0"/>
                <w:color w:val="auto"/>
                <w:sz w:val="24"/>
                <w:szCs w:val="24"/>
                <w:u w:val="single"/>
                <w:lang w:val="en-US" w:eastAsia="zh-CN"/>
              </w:rPr>
              <w:t>现场竞价</w:t>
            </w:r>
            <w:r>
              <w:rPr>
                <w:rFonts w:hint="eastAsia" w:ascii="仿宋" w:hAnsi="仿宋" w:eastAsia="仿宋" w:cs="仿宋"/>
                <w:b/>
                <w:bCs w:val="0"/>
                <w:color w:val="auto"/>
                <w:sz w:val="24"/>
                <w:szCs w:val="24"/>
                <w:lang w:val="en-US" w:eastAsia="zh-CN"/>
              </w:rPr>
              <w:t>。</w:t>
            </w:r>
          </w:p>
          <w:p>
            <w:pPr>
              <w:numPr>
                <w:ilvl w:val="0"/>
                <w:numId w:val="0"/>
              </w:numPr>
              <w:jc w:val="left"/>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2、响应文件</w:t>
            </w:r>
            <w:r>
              <w:rPr>
                <w:rFonts w:hint="eastAsia" w:ascii="仿宋" w:hAnsi="仿宋" w:eastAsia="仿宋" w:cs="仿宋"/>
                <w:b w:val="0"/>
                <w:bCs/>
                <w:color w:val="auto"/>
                <w:sz w:val="24"/>
                <w:szCs w:val="24"/>
              </w:rPr>
              <w:t>递交</w:t>
            </w:r>
            <w:r>
              <w:rPr>
                <w:rFonts w:hint="eastAsia" w:ascii="仿宋" w:hAnsi="仿宋" w:eastAsia="仿宋" w:cs="仿宋"/>
                <w:b w:val="0"/>
                <w:bCs/>
                <w:color w:val="auto"/>
                <w:sz w:val="24"/>
                <w:szCs w:val="24"/>
                <w:lang w:val="en-US" w:eastAsia="zh-CN"/>
              </w:rPr>
              <w:t>截止</w:t>
            </w:r>
            <w:r>
              <w:rPr>
                <w:rFonts w:hint="eastAsia" w:ascii="仿宋" w:hAnsi="仿宋" w:eastAsia="仿宋" w:cs="仿宋"/>
                <w:b w:val="0"/>
                <w:bCs/>
                <w:color w:val="auto"/>
                <w:sz w:val="24"/>
                <w:szCs w:val="24"/>
              </w:rPr>
              <w:t>时间</w:t>
            </w:r>
            <w:r>
              <w:rPr>
                <w:rFonts w:hint="eastAsia" w:ascii="仿宋" w:hAnsi="仿宋" w:eastAsia="仿宋" w:cs="仿宋"/>
                <w:b w:val="0"/>
                <w:bCs/>
                <w:color w:val="auto"/>
                <w:sz w:val="24"/>
                <w:szCs w:val="24"/>
                <w:lang w:eastAsia="zh-CN"/>
              </w:rPr>
              <w:t>：</w:t>
            </w:r>
            <w:r>
              <w:rPr>
                <w:rFonts w:hint="eastAsia" w:ascii="仿宋" w:hAnsi="仿宋" w:eastAsia="仿宋" w:cs="仿宋"/>
                <w:b/>
                <w:bCs w:val="0"/>
                <w:color w:val="auto"/>
                <w:sz w:val="24"/>
                <w:szCs w:val="24"/>
                <w:u w:val="single"/>
                <w:lang w:val="en-US" w:eastAsia="zh-CN"/>
              </w:rPr>
              <w:t>2024</w:t>
            </w:r>
            <w:r>
              <w:rPr>
                <w:rFonts w:hint="eastAsia" w:ascii="仿宋" w:hAnsi="仿宋" w:eastAsia="仿宋" w:cs="仿宋"/>
                <w:b/>
                <w:bCs w:val="0"/>
                <w:color w:val="auto"/>
                <w:sz w:val="24"/>
                <w:szCs w:val="24"/>
                <w:lang w:val="en-US" w:eastAsia="zh-CN"/>
              </w:rPr>
              <w:t>年</w:t>
            </w:r>
            <w:r>
              <w:rPr>
                <w:rFonts w:hint="eastAsia" w:ascii="仿宋" w:hAnsi="仿宋" w:eastAsia="仿宋" w:cs="仿宋"/>
                <w:b/>
                <w:bCs w:val="0"/>
                <w:color w:val="auto"/>
                <w:sz w:val="24"/>
                <w:szCs w:val="24"/>
                <w:u w:val="single"/>
                <w:lang w:val="en-US" w:eastAsia="zh-CN"/>
              </w:rPr>
              <w:t xml:space="preserve"> 6</w:t>
            </w:r>
            <w:r>
              <w:rPr>
                <w:rFonts w:hint="eastAsia" w:ascii="仿宋" w:hAnsi="仿宋" w:eastAsia="仿宋" w:cs="仿宋"/>
                <w:b/>
                <w:bCs w:val="0"/>
                <w:color w:val="auto"/>
                <w:sz w:val="24"/>
                <w:szCs w:val="24"/>
                <w:lang w:val="en-US" w:eastAsia="zh-CN"/>
              </w:rPr>
              <w:t>月</w:t>
            </w:r>
            <w:r>
              <w:rPr>
                <w:rFonts w:hint="eastAsia" w:ascii="仿宋" w:hAnsi="仿宋" w:eastAsia="仿宋" w:cs="仿宋"/>
                <w:b/>
                <w:bCs w:val="0"/>
                <w:color w:val="auto"/>
                <w:sz w:val="24"/>
                <w:szCs w:val="24"/>
                <w:u w:val="single"/>
                <w:lang w:val="en-US" w:eastAsia="zh-CN"/>
              </w:rPr>
              <w:t>27</w:t>
            </w:r>
            <w:r>
              <w:rPr>
                <w:rFonts w:hint="eastAsia" w:ascii="仿宋" w:hAnsi="仿宋" w:eastAsia="仿宋" w:cs="仿宋"/>
                <w:b/>
                <w:bCs w:val="0"/>
                <w:color w:val="auto"/>
                <w:sz w:val="24"/>
                <w:szCs w:val="24"/>
                <w:lang w:val="en-US" w:eastAsia="zh-CN"/>
              </w:rPr>
              <w:t>日</w:t>
            </w:r>
            <w:r>
              <w:rPr>
                <w:rFonts w:hint="eastAsia" w:ascii="仿宋" w:hAnsi="仿宋" w:eastAsia="仿宋" w:cs="仿宋"/>
                <w:b/>
                <w:bCs w:val="0"/>
                <w:color w:val="auto"/>
                <w:sz w:val="24"/>
                <w:szCs w:val="24"/>
                <w:u w:val="single"/>
                <w:lang w:val="en-US" w:eastAsia="zh-CN"/>
              </w:rPr>
              <w:t>15</w:t>
            </w:r>
            <w:bookmarkStart w:id="0" w:name="_GoBack"/>
            <w:bookmarkEnd w:id="0"/>
            <w:r>
              <w:rPr>
                <w:rFonts w:hint="eastAsia" w:ascii="仿宋" w:hAnsi="仿宋" w:eastAsia="仿宋" w:cs="仿宋"/>
                <w:b/>
                <w:bCs w:val="0"/>
                <w:color w:val="auto"/>
                <w:sz w:val="24"/>
                <w:szCs w:val="24"/>
                <w:u w:val="none"/>
                <w:lang w:val="en-US" w:eastAsia="zh-CN"/>
              </w:rPr>
              <w:t>时</w:t>
            </w:r>
            <w:r>
              <w:rPr>
                <w:rFonts w:hint="eastAsia" w:ascii="仿宋" w:hAnsi="仿宋" w:eastAsia="仿宋" w:cs="仿宋"/>
                <w:b/>
                <w:bCs w:val="0"/>
                <w:color w:val="auto"/>
                <w:sz w:val="24"/>
                <w:szCs w:val="24"/>
                <w:u w:val="single"/>
                <w:lang w:val="en-US" w:eastAsia="zh-CN"/>
              </w:rPr>
              <w:t>00</w:t>
            </w:r>
            <w:r>
              <w:rPr>
                <w:rFonts w:hint="eastAsia" w:ascii="仿宋" w:hAnsi="仿宋" w:eastAsia="仿宋" w:cs="仿宋"/>
                <w:b/>
                <w:bCs w:val="0"/>
                <w:color w:val="auto"/>
                <w:sz w:val="24"/>
                <w:szCs w:val="24"/>
                <w:u w:val="none"/>
                <w:lang w:val="en-US" w:eastAsia="zh-CN"/>
              </w:rPr>
              <w:t>分</w:t>
            </w:r>
            <w:r>
              <w:rPr>
                <w:rFonts w:hint="eastAsia" w:ascii="仿宋" w:hAnsi="仿宋" w:eastAsia="仿宋" w:cs="仿宋"/>
                <w:b/>
                <w:bCs w:val="0"/>
                <w:color w:val="auto"/>
                <w:sz w:val="24"/>
                <w:szCs w:val="24"/>
              </w:rPr>
              <w:t>（北京时间）</w:t>
            </w:r>
            <w:r>
              <w:rPr>
                <w:rFonts w:hint="eastAsia" w:ascii="仿宋" w:hAnsi="仿宋" w:eastAsia="仿宋" w:cs="仿宋"/>
                <w:b w:val="0"/>
                <w:bCs/>
                <w:color w:val="auto"/>
                <w:sz w:val="24"/>
                <w:szCs w:val="24"/>
                <w:lang w:val="en-US" w:eastAsia="zh-CN"/>
              </w:rPr>
              <w:t xml:space="preserve">。 </w:t>
            </w:r>
          </w:p>
          <w:p>
            <w:pPr>
              <w:numPr>
                <w:ilvl w:val="0"/>
                <w:numId w:val="0"/>
              </w:numPr>
              <w:jc w:val="left"/>
              <w:rPr>
                <w:rFonts w:hint="default" w:ascii="仿宋" w:hAnsi="仿宋" w:eastAsia="仿宋" w:cs="仿宋"/>
                <w:b w:val="0"/>
                <w:bCs/>
                <w:color w:val="000000"/>
                <w:sz w:val="24"/>
                <w:szCs w:val="24"/>
                <w:lang w:val="en-US" w:eastAsia="zh-CN"/>
              </w:rPr>
            </w:pPr>
            <w:r>
              <w:rPr>
                <w:rFonts w:hint="eastAsia" w:ascii="仿宋" w:hAnsi="仿宋" w:eastAsia="仿宋" w:cs="仿宋"/>
                <w:b/>
                <w:bCs w:val="0"/>
                <w:color w:val="auto"/>
                <w:sz w:val="24"/>
                <w:szCs w:val="24"/>
                <w:lang w:val="en-US" w:eastAsia="zh-CN"/>
              </w:rPr>
              <w:t>3、响应文件递交地点：雅安城投供应链有限公司（雅安市雨城区北环东路100号）二楼党群活动室。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451" w:type="dxa"/>
            <w:noWrap w:val="0"/>
            <w:vAlign w:val="top"/>
          </w:tcPr>
          <w:p>
            <w:pPr>
              <w:spacing w:line="500" w:lineRule="exact"/>
              <w:jc w:val="center"/>
              <w:rPr>
                <w:rFonts w:hint="eastAsia" w:ascii="仿宋" w:hAnsi="仿宋" w:eastAsia="仿宋" w:cs="仿宋"/>
                <w:b/>
                <w:bCs w:val="0"/>
                <w:color w:val="000000"/>
                <w:sz w:val="24"/>
                <w:szCs w:val="24"/>
                <w:lang w:val="en-US" w:eastAsia="zh-CN"/>
              </w:rPr>
            </w:pPr>
          </w:p>
          <w:p>
            <w:pPr>
              <w:spacing w:line="500" w:lineRule="exact"/>
              <w:jc w:val="center"/>
              <w:rPr>
                <w:rFonts w:hint="eastAsia"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付款方式</w:t>
            </w:r>
          </w:p>
        </w:tc>
        <w:tc>
          <w:tcPr>
            <w:tcW w:w="8612" w:type="dxa"/>
            <w:gridSpan w:val="3"/>
            <w:noWrap w:val="0"/>
            <w:vAlign w:val="top"/>
          </w:tcPr>
          <w:p>
            <w:pPr>
              <w:numPr>
                <w:ilvl w:val="0"/>
                <w:numId w:val="5"/>
              </w:numPr>
              <w:rPr>
                <w:rFonts w:hint="default" w:ascii="仿宋" w:hAnsi="仿宋" w:eastAsia="仿宋" w:cs="仿宋"/>
                <w:b/>
                <w:bCs w:val="0"/>
                <w:color w:val="auto"/>
                <w:sz w:val="24"/>
                <w:szCs w:val="24"/>
                <w:u w:val="none"/>
                <w:lang w:val="en-US" w:eastAsia="zh-CN"/>
              </w:rPr>
            </w:pPr>
            <w:r>
              <w:rPr>
                <w:rFonts w:hint="eastAsia" w:ascii="仿宋" w:hAnsi="仿宋" w:eastAsia="仿宋" w:cs="仿宋"/>
                <w:b/>
                <w:bCs w:val="0"/>
                <w:color w:val="auto"/>
                <w:sz w:val="24"/>
                <w:szCs w:val="24"/>
                <w:lang w:val="en-US" w:eastAsia="zh-CN"/>
              </w:rPr>
              <w:t>付款方式：</w:t>
            </w:r>
            <w:r>
              <w:rPr>
                <w:rFonts w:hint="eastAsia" w:ascii="仿宋" w:hAnsi="仿宋" w:eastAsia="仿宋" w:cs="仿宋"/>
                <w:b/>
                <w:bCs w:val="0"/>
                <w:color w:val="auto"/>
                <w:sz w:val="24"/>
                <w:szCs w:val="24"/>
                <w:u w:val="none"/>
                <w:lang w:val="en-US" w:eastAsia="zh-CN"/>
              </w:rPr>
              <w:t>按月付款。</w:t>
            </w:r>
          </w:p>
          <w:p>
            <w:pPr>
              <w:numPr>
                <w:ilvl w:val="0"/>
                <w:numId w:val="0"/>
              </w:numPr>
              <w:ind w:firstLine="241" w:firstLineChars="100"/>
              <w:rPr>
                <w:rFonts w:hint="default"/>
                <w:lang w:val="en-US" w:eastAsia="zh-CN"/>
              </w:rPr>
            </w:pPr>
            <w:r>
              <w:rPr>
                <w:rFonts w:hint="eastAsia" w:ascii="仿宋" w:hAnsi="仿宋" w:eastAsia="仿宋" w:cs="仿宋"/>
                <w:b/>
                <w:bCs w:val="0"/>
                <w:color w:val="auto"/>
                <w:sz w:val="24"/>
                <w:szCs w:val="24"/>
                <w:lang w:val="en-US" w:eastAsia="zh-CN"/>
              </w:rPr>
              <w:t>甲乙双方约定每月20号至25号核对上月20号至本月19号的供货量并办理结算（经双方验收合格并共同签字确认、按合同约定提供所有有效结算票据、乙方开具结算金额核对无误的供货量100%发票），甲方于办理结算后的10日内结清应付货款的70%</w:t>
            </w:r>
            <w:r>
              <w:rPr>
                <w:rFonts w:hint="eastAsia" w:ascii="仿宋" w:hAnsi="仿宋" w:eastAsia="仿宋" w:cs="仿宋"/>
                <w:b/>
                <w:bCs w:val="0"/>
                <w:color w:val="auto"/>
                <w:sz w:val="24"/>
                <w:szCs w:val="24"/>
                <w:u w:val="none"/>
                <w:lang w:val="en-US" w:eastAsia="zh-CN"/>
              </w:rPr>
              <w:t>，剩余未结算的30%货款由下一次结清（滚动支付），以此类推，节假日顺延。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noWrap w:val="0"/>
            <w:vAlign w:val="top"/>
          </w:tcPr>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支付方式</w:t>
            </w:r>
          </w:p>
        </w:tc>
        <w:tc>
          <w:tcPr>
            <w:tcW w:w="8612" w:type="dxa"/>
            <w:gridSpan w:val="3"/>
            <w:noWrap w:val="0"/>
            <w:vAlign w:val="top"/>
          </w:tcPr>
          <w:p>
            <w:pPr>
              <w:pStyle w:val="2"/>
              <w:rPr>
                <w:rFonts w:hint="default"/>
                <w:lang w:val="en-US" w:eastAsia="zh-CN"/>
              </w:rPr>
            </w:pPr>
            <w:r>
              <w:rPr>
                <w:rFonts w:hint="eastAsia" w:ascii="仿宋" w:hAnsi="仿宋" w:eastAsia="仿宋" w:cs="仿宋"/>
                <w:b/>
                <w:bCs w:val="0"/>
                <w:color w:val="auto"/>
                <w:sz w:val="24"/>
                <w:szCs w:val="24"/>
                <w:lang w:val="en-US" w:eastAsia="zh-CN"/>
              </w:rPr>
              <w:t>1、支付方式：银行转账。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451" w:type="dxa"/>
            <w:noWrap w:val="0"/>
            <w:vAlign w:val="top"/>
          </w:tcPr>
          <w:p>
            <w:pPr>
              <w:spacing w:line="500" w:lineRule="exact"/>
              <w:jc w:val="center"/>
              <w:rPr>
                <w:rFonts w:hint="default" w:ascii="仿宋" w:hAnsi="仿宋" w:eastAsia="仿宋" w:cs="仿宋"/>
                <w:b/>
                <w:bCs w:val="0"/>
                <w:color w:val="000000"/>
                <w:sz w:val="24"/>
                <w:szCs w:val="24"/>
                <w:lang w:val="en-US" w:eastAsia="zh-CN"/>
              </w:rPr>
            </w:pPr>
            <w:r>
              <w:rPr>
                <w:rFonts w:hint="eastAsia" w:ascii="仿宋" w:hAnsi="仿宋" w:eastAsia="仿宋" w:cs="仿宋"/>
                <w:b/>
                <w:bCs w:val="0"/>
                <w:color w:val="000000"/>
                <w:sz w:val="24"/>
                <w:szCs w:val="24"/>
                <w:lang w:val="en-US" w:eastAsia="zh-CN"/>
              </w:rPr>
              <w:t>合同签订</w:t>
            </w:r>
          </w:p>
        </w:tc>
        <w:tc>
          <w:tcPr>
            <w:tcW w:w="8612" w:type="dxa"/>
            <w:gridSpan w:val="3"/>
            <w:noWrap w:val="0"/>
            <w:vAlign w:val="top"/>
          </w:tcPr>
          <w:p>
            <w:pPr>
              <w:spacing w:line="50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1、中标单位在收到采购人发出的《中标通知书》后，应在规定的时间内与采购人签订采购合同。由于中标单位的原因逾期未与采购人签订采购合同的，将视为放弃中标，取消其中标资格并将按相关规定进行处理。</w:t>
            </w:r>
          </w:p>
          <w:p>
            <w:pPr>
              <w:spacing w:line="500" w:lineRule="exact"/>
              <w:rPr>
                <w:rFonts w:hint="eastAsia" w:ascii="仿宋" w:hAnsi="仿宋" w:eastAsia="仿宋" w:cs="仿宋"/>
                <w:b w:val="0"/>
                <w:bCs/>
                <w:color w:val="000000"/>
                <w:sz w:val="24"/>
                <w:szCs w:val="24"/>
                <w:lang w:val="en-US" w:eastAsia="zh-CN"/>
              </w:rPr>
            </w:pPr>
            <w:r>
              <w:rPr>
                <w:rFonts w:hint="eastAsia" w:ascii="仿宋" w:hAnsi="仿宋" w:eastAsia="仿宋" w:cs="仿宋"/>
                <w:b w:val="0"/>
                <w:bCs/>
                <w:color w:val="000000"/>
                <w:sz w:val="24"/>
                <w:szCs w:val="24"/>
                <w:lang w:val="en-US" w:eastAsia="zh-CN"/>
              </w:rPr>
              <w:t>2、采购人不得向中标单位提出任何不合理的要求，作为签订合同的条件，不得与中标单位私下订立背离合同实质性内容的任何协议，所签订的合同不得对竞价函和中标单位响应文件作实质性修改。</w:t>
            </w:r>
          </w:p>
          <w:p>
            <w:pPr>
              <w:pageBreakBefore w:val="0"/>
              <w:kinsoku/>
              <w:overflowPunct/>
              <w:topLinePunct w:val="0"/>
              <w:autoSpaceDE/>
              <w:autoSpaceDN/>
              <w:bidi w:val="0"/>
              <w:spacing w:line="560" w:lineRule="exact"/>
              <w:rPr>
                <w:rFonts w:hint="eastAsia" w:ascii="仿宋" w:hAnsi="仿宋" w:eastAsia="仿宋" w:cs="仿宋"/>
                <w:b/>
                <w:bCs w:val="0"/>
                <w:color w:val="auto"/>
                <w:sz w:val="24"/>
                <w:szCs w:val="24"/>
                <w:lang w:val="en-US" w:eastAsia="zh-CN"/>
              </w:rPr>
            </w:pPr>
            <w:r>
              <w:rPr>
                <w:rFonts w:hint="eastAsia" w:ascii="仿宋" w:hAnsi="仿宋" w:eastAsia="仿宋" w:cs="仿宋"/>
                <w:b w:val="0"/>
                <w:bCs/>
                <w:color w:val="000000"/>
                <w:sz w:val="24"/>
                <w:szCs w:val="24"/>
                <w:lang w:val="en-US" w:eastAsia="zh-CN"/>
              </w:rPr>
              <w:t>3、中标单位因不可抗力原因不能履行采购合同或放弃中标的，采购人可以与排在中标人之后第一位的中标候选人签订采购合同，以此类推。也可以选择重新采购。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51" w:type="dxa"/>
            <w:noWrap w:val="0"/>
            <w:vAlign w:val="center"/>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rPr>
              <w:t>廉洁要求</w:t>
            </w:r>
          </w:p>
        </w:tc>
        <w:tc>
          <w:tcPr>
            <w:tcW w:w="8612" w:type="dxa"/>
            <w:gridSpan w:val="3"/>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要求供应商公开、公平、公正参与本次采购（报价、采购），过程如有围标、串标、陪标、行贿、等行为发生，雅安城投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有限公司将按照下列规定处理供应商：</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（1）已中</w:t>
            </w:r>
            <w:r>
              <w:rPr>
                <w:rFonts w:hint="eastAsia" w:ascii="仿宋" w:hAnsi="仿宋" w:eastAsia="仿宋" w:cs="仿宋"/>
                <w:b w:val="0"/>
                <w:bCs/>
                <w:color w:val="000000"/>
                <w:sz w:val="24"/>
                <w:szCs w:val="24"/>
                <w:lang w:val="en-US" w:eastAsia="zh-CN"/>
              </w:rPr>
              <w:t>标</w:t>
            </w:r>
            <w:r>
              <w:rPr>
                <w:rFonts w:hint="eastAsia" w:ascii="仿宋" w:hAnsi="仿宋" w:eastAsia="仿宋" w:cs="仿宋"/>
                <w:b w:val="0"/>
                <w:bCs/>
                <w:color w:val="000000"/>
                <w:sz w:val="24"/>
                <w:szCs w:val="24"/>
              </w:rPr>
              <w:t>的，中</w:t>
            </w:r>
            <w:r>
              <w:rPr>
                <w:rFonts w:hint="eastAsia" w:ascii="仿宋" w:hAnsi="仿宋" w:eastAsia="仿宋" w:cs="仿宋"/>
                <w:b w:val="0"/>
                <w:bCs/>
                <w:color w:val="000000"/>
                <w:sz w:val="24"/>
                <w:szCs w:val="24"/>
                <w:lang w:val="en-US" w:eastAsia="zh-CN"/>
              </w:rPr>
              <w:t>标</w:t>
            </w:r>
            <w:r>
              <w:rPr>
                <w:rFonts w:hint="eastAsia" w:ascii="仿宋" w:hAnsi="仿宋" w:eastAsia="仿宋" w:cs="仿宋"/>
                <w:b w:val="0"/>
                <w:bCs/>
                <w:color w:val="000000"/>
                <w:sz w:val="24"/>
                <w:szCs w:val="24"/>
              </w:rPr>
              <w:t>无效，并没收相关保证金（如有）。已签订合同的，雅安城投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有限公司有权解除合同，并没收相关保证金（如有），还需按合同其他约定承担导致合同终止的违约责任，同时雅安城投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有限公司可对违规方单位采取必要措施（包括暂停支付与我司相关合作项目的所有应付账款，或通过司法途径向供方追偿由此造成雅安城投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有限公司的一切经济及商业损失）。</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（2）雅安城投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有限公司有权可通过诉讼方式向违规供方主张权利。</w:t>
            </w:r>
          </w:p>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rPr>
              <w:t>（3）雅安城投</w:t>
            </w:r>
            <w:r>
              <w:rPr>
                <w:rFonts w:hint="eastAsia" w:ascii="仿宋" w:hAnsi="仿宋" w:eastAsia="仿宋" w:cs="仿宋"/>
                <w:b w:val="0"/>
                <w:bCs/>
                <w:color w:val="000000"/>
                <w:sz w:val="24"/>
                <w:szCs w:val="24"/>
                <w:lang w:val="en-US" w:eastAsia="zh-CN"/>
              </w:rPr>
              <w:t>供应链</w:t>
            </w:r>
            <w:r>
              <w:rPr>
                <w:rFonts w:hint="eastAsia" w:ascii="仿宋" w:hAnsi="仿宋" w:eastAsia="仿宋" w:cs="仿宋"/>
                <w:b w:val="0"/>
                <w:bCs/>
                <w:color w:val="000000"/>
                <w:sz w:val="24"/>
                <w:szCs w:val="24"/>
              </w:rPr>
              <w:t>有限公司有权将违规单位列入雅安城投公司的</w:t>
            </w:r>
            <w:r>
              <w:rPr>
                <w:rFonts w:hint="eastAsia" w:ascii="仿宋" w:hAnsi="仿宋" w:eastAsia="仿宋" w:cs="仿宋"/>
                <w:b w:val="0"/>
                <w:bCs/>
                <w:color w:val="000000"/>
                <w:sz w:val="24"/>
                <w:szCs w:val="24"/>
                <w:lang w:val="en-US" w:eastAsia="zh-CN"/>
              </w:rPr>
              <w:t>不良供应商</w:t>
            </w:r>
            <w:r>
              <w:rPr>
                <w:rFonts w:hint="eastAsia" w:ascii="仿宋" w:hAnsi="仿宋" w:eastAsia="仿宋" w:cs="仿宋"/>
                <w:b w:val="0"/>
                <w:bCs/>
                <w:color w:val="000000"/>
                <w:sz w:val="24"/>
                <w:szCs w:val="24"/>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51" w:type="dxa"/>
            <w:noWrap w:val="0"/>
            <w:vAlign w:val="center"/>
          </w:tcPr>
          <w:p>
            <w:pPr>
              <w:spacing w:line="500" w:lineRule="exact"/>
              <w:jc w:val="center"/>
              <w:rPr>
                <w:rFonts w:hint="eastAsia" w:ascii="仿宋" w:hAnsi="仿宋" w:eastAsia="仿宋" w:cs="仿宋"/>
                <w:b/>
                <w:bCs w:val="0"/>
                <w:color w:val="000000"/>
                <w:sz w:val="24"/>
                <w:szCs w:val="24"/>
              </w:rPr>
            </w:pPr>
            <w:r>
              <w:rPr>
                <w:rFonts w:hint="eastAsia" w:ascii="仿宋" w:hAnsi="仿宋" w:eastAsia="仿宋" w:cs="仿宋"/>
                <w:b/>
                <w:bCs w:val="0"/>
                <w:color w:val="000000"/>
                <w:sz w:val="24"/>
                <w:szCs w:val="24"/>
                <w:lang w:val="en-US" w:eastAsia="zh-CN"/>
              </w:rPr>
              <w:t>利害关系     供应商处理</w:t>
            </w:r>
          </w:p>
        </w:tc>
        <w:tc>
          <w:tcPr>
            <w:tcW w:w="8612" w:type="dxa"/>
            <w:gridSpan w:val="3"/>
            <w:noWrap w:val="0"/>
            <w:vAlign w:val="top"/>
          </w:tcPr>
          <w:p>
            <w:pPr>
              <w:spacing w:line="500" w:lineRule="exact"/>
              <w:rPr>
                <w:rFonts w:hint="eastAsia" w:ascii="仿宋" w:hAnsi="仿宋" w:eastAsia="仿宋" w:cs="仿宋"/>
                <w:b w:val="0"/>
                <w:bCs/>
                <w:color w:val="000000"/>
                <w:sz w:val="24"/>
                <w:szCs w:val="24"/>
              </w:rPr>
            </w:pPr>
            <w:r>
              <w:rPr>
                <w:rFonts w:hint="eastAsia" w:ascii="仿宋" w:hAnsi="仿宋" w:eastAsia="仿宋" w:cs="仿宋"/>
                <w:b w:val="0"/>
                <w:bCs/>
                <w:color w:val="000000"/>
                <w:sz w:val="24"/>
                <w:szCs w:val="24"/>
                <w:lang w:val="en-US" w:eastAsia="zh-CN"/>
              </w:rPr>
              <w:t>单位负责人为同一人或者存在直接控股、管理关系的不同供应商不得参加同一合同下的采购项目。否则，其响应文件作为无效处理。</w:t>
            </w:r>
          </w:p>
        </w:tc>
      </w:tr>
    </w:tbl>
    <w:p>
      <w:pPr>
        <w:jc w:val="both"/>
        <w:outlineLvl w:val="1"/>
        <w:rPr>
          <w:rFonts w:hint="eastAsia" w:ascii="仿宋" w:hAnsi="仿宋" w:eastAsia="仿宋" w:cs="仿宋"/>
          <w:color w:val="000000"/>
          <w:sz w:val="24"/>
          <w:szCs w:val="24"/>
        </w:rPr>
      </w:pPr>
    </w:p>
    <w:sectPr>
      <w:headerReference r:id="rId3" w:type="default"/>
      <w:footerReference r:id="rId4" w:type="default"/>
      <w:footnotePr>
        <w:pos w:val="beneathText"/>
      </w:footnotePr>
      <w:pgSz w:w="11905" w:h="16837"/>
      <w:pgMar w:top="1332" w:right="1361" w:bottom="1332" w:left="136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w:t>
    </w:r>
    <w:r>
      <w:rPr>
        <w:rFonts w:ascii="宋体" w:hAnsi="宋体"/>
        <w:kern w:val="0"/>
        <w:szCs w:val="21"/>
      </w:rPr>
      <w:fldChar w:fldCharType="end"/>
    </w:r>
    <w:r>
      <w:rPr>
        <w:rFonts w:hint="eastAsia" w:ascii="宋体" w:hAnsi="宋体"/>
        <w:kern w:val="0"/>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C15F0"/>
    <w:multiLevelType w:val="singleLevel"/>
    <w:tmpl w:val="951C15F0"/>
    <w:lvl w:ilvl="0" w:tentative="0">
      <w:start w:val="1"/>
      <w:numFmt w:val="decimal"/>
      <w:suff w:val="space"/>
      <w:lvlText w:val="%1、"/>
      <w:lvlJc w:val="left"/>
    </w:lvl>
  </w:abstractNum>
  <w:abstractNum w:abstractNumId="1">
    <w:nsid w:val="B8BD243F"/>
    <w:multiLevelType w:val="singleLevel"/>
    <w:tmpl w:val="B8BD243F"/>
    <w:lvl w:ilvl="0" w:tentative="0">
      <w:start w:val="1"/>
      <w:numFmt w:val="decimal"/>
      <w:suff w:val="nothing"/>
      <w:lvlText w:val="%1、"/>
      <w:lvlJc w:val="left"/>
    </w:lvl>
  </w:abstractNum>
  <w:abstractNum w:abstractNumId="2">
    <w:nsid w:val="0000000A"/>
    <w:multiLevelType w:val="multilevel"/>
    <w:tmpl w:val="0000000A"/>
    <w:lvl w:ilvl="0" w:tentative="0">
      <w:start w:val="1"/>
      <w:numFmt w:val="decimal"/>
      <w:lvlText w:val="%1."/>
      <w:lvlJc w:val="left"/>
      <w:pPr>
        <w:tabs>
          <w:tab w:val="left" w:pos="420"/>
        </w:tabs>
        <w:ind w:left="430" w:hanging="430"/>
      </w:pPr>
      <w:rPr>
        <w:rFonts w:hint="eastAsia"/>
      </w:rPr>
    </w:lvl>
    <w:lvl w:ilvl="1" w:tentative="0">
      <w:start w:val="1"/>
      <w:numFmt w:val="decimal"/>
      <w:pStyle w:val="15"/>
      <w:lvlText w:val="%1.%2"/>
      <w:lvlJc w:val="left"/>
      <w:pPr>
        <w:tabs>
          <w:tab w:val="left" w:pos="842"/>
        </w:tabs>
        <w:ind w:left="842" w:hanging="700"/>
      </w:pPr>
      <w:rPr>
        <w:rFonts w:hint="eastAsia"/>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3">
    <w:nsid w:val="135C8049"/>
    <w:multiLevelType w:val="singleLevel"/>
    <w:tmpl w:val="135C8049"/>
    <w:lvl w:ilvl="0" w:tentative="0">
      <w:start w:val="1"/>
      <w:numFmt w:val="decimal"/>
      <w:suff w:val="nothing"/>
      <w:lvlText w:val="%1、"/>
      <w:lvlJc w:val="left"/>
    </w:lvl>
  </w:abstractNum>
  <w:abstractNum w:abstractNumId="4">
    <w:nsid w:val="2D70F5E9"/>
    <w:multiLevelType w:val="singleLevel"/>
    <w:tmpl w:val="2D70F5E9"/>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MzBlZDhlYWNkNTU2NTcxY2QwN2NmMDM4NGI1NzYifQ=="/>
  </w:docVars>
  <w:rsids>
    <w:rsidRoot w:val="00000000"/>
    <w:rsid w:val="00475304"/>
    <w:rsid w:val="0083050D"/>
    <w:rsid w:val="00844285"/>
    <w:rsid w:val="008C4773"/>
    <w:rsid w:val="00A55301"/>
    <w:rsid w:val="00CA7EEA"/>
    <w:rsid w:val="00FF0B6A"/>
    <w:rsid w:val="017354BE"/>
    <w:rsid w:val="01831488"/>
    <w:rsid w:val="01DD59FB"/>
    <w:rsid w:val="020735E1"/>
    <w:rsid w:val="021C139C"/>
    <w:rsid w:val="02921645"/>
    <w:rsid w:val="02B70580"/>
    <w:rsid w:val="02BF340E"/>
    <w:rsid w:val="030D350D"/>
    <w:rsid w:val="03215A31"/>
    <w:rsid w:val="03233F98"/>
    <w:rsid w:val="035D3297"/>
    <w:rsid w:val="038A7E04"/>
    <w:rsid w:val="03B504A3"/>
    <w:rsid w:val="041F054D"/>
    <w:rsid w:val="045E1BB5"/>
    <w:rsid w:val="047425B6"/>
    <w:rsid w:val="049F5EA2"/>
    <w:rsid w:val="04CE3D21"/>
    <w:rsid w:val="04E15802"/>
    <w:rsid w:val="04F15CAC"/>
    <w:rsid w:val="05052822"/>
    <w:rsid w:val="05114EDC"/>
    <w:rsid w:val="05126090"/>
    <w:rsid w:val="05253B7D"/>
    <w:rsid w:val="0544022B"/>
    <w:rsid w:val="05D45367"/>
    <w:rsid w:val="0650130C"/>
    <w:rsid w:val="06583770"/>
    <w:rsid w:val="06796A2D"/>
    <w:rsid w:val="069F33E9"/>
    <w:rsid w:val="06A80318"/>
    <w:rsid w:val="06BC02D5"/>
    <w:rsid w:val="06C70D2A"/>
    <w:rsid w:val="071B07B5"/>
    <w:rsid w:val="073267E9"/>
    <w:rsid w:val="076C72BA"/>
    <w:rsid w:val="07702E6D"/>
    <w:rsid w:val="07933443"/>
    <w:rsid w:val="08036534"/>
    <w:rsid w:val="0826621F"/>
    <w:rsid w:val="085F33CA"/>
    <w:rsid w:val="0A002AF6"/>
    <w:rsid w:val="0A0633F8"/>
    <w:rsid w:val="0A526E6E"/>
    <w:rsid w:val="0A6E493C"/>
    <w:rsid w:val="0B01399E"/>
    <w:rsid w:val="0B174AE8"/>
    <w:rsid w:val="0B1B2F10"/>
    <w:rsid w:val="0B220922"/>
    <w:rsid w:val="0B5B1AAE"/>
    <w:rsid w:val="0B647BA1"/>
    <w:rsid w:val="0B966410"/>
    <w:rsid w:val="0BC22757"/>
    <w:rsid w:val="0BC358B3"/>
    <w:rsid w:val="0BEC07AD"/>
    <w:rsid w:val="0C0C0C7F"/>
    <w:rsid w:val="0CE51C08"/>
    <w:rsid w:val="0D204675"/>
    <w:rsid w:val="0D3761E6"/>
    <w:rsid w:val="0D4265AA"/>
    <w:rsid w:val="0D737F1F"/>
    <w:rsid w:val="0DB25F8E"/>
    <w:rsid w:val="0DEC4366"/>
    <w:rsid w:val="0E744C83"/>
    <w:rsid w:val="0EA53794"/>
    <w:rsid w:val="0EB86015"/>
    <w:rsid w:val="0ECA158C"/>
    <w:rsid w:val="0EE04D7C"/>
    <w:rsid w:val="0F0A6D3C"/>
    <w:rsid w:val="0F564A4F"/>
    <w:rsid w:val="10620F9A"/>
    <w:rsid w:val="10994EC9"/>
    <w:rsid w:val="11371515"/>
    <w:rsid w:val="113F0EDA"/>
    <w:rsid w:val="11965BC6"/>
    <w:rsid w:val="11CC653F"/>
    <w:rsid w:val="11EA026F"/>
    <w:rsid w:val="11EC57E6"/>
    <w:rsid w:val="121511E1"/>
    <w:rsid w:val="12324728"/>
    <w:rsid w:val="126B20EE"/>
    <w:rsid w:val="13021765"/>
    <w:rsid w:val="136968E1"/>
    <w:rsid w:val="137633C1"/>
    <w:rsid w:val="13AE0697"/>
    <w:rsid w:val="13C12E43"/>
    <w:rsid w:val="13C51E0C"/>
    <w:rsid w:val="140E7C96"/>
    <w:rsid w:val="147F0B94"/>
    <w:rsid w:val="14B116DC"/>
    <w:rsid w:val="14DC1911"/>
    <w:rsid w:val="14E44553"/>
    <w:rsid w:val="158F246E"/>
    <w:rsid w:val="15A83398"/>
    <w:rsid w:val="165D4F05"/>
    <w:rsid w:val="16620F50"/>
    <w:rsid w:val="1686640D"/>
    <w:rsid w:val="16DD5993"/>
    <w:rsid w:val="17126D66"/>
    <w:rsid w:val="1720040C"/>
    <w:rsid w:val="174B5395"/>
    <w:rsid w:val="1763654B"/>
    <w:rsid w:val="176D19FF"/>
    <w:rsid w:val="177570BB"/>
    <w:rsid w:val="179148A6"/>
    <w:rsid w:val="179E57D5"/>
    <w:rsid w:val="17D85D90"/>
    <w:rsid w:val="17F84A4C"/>
    <w:rsid w:val="18534811"/>
    <w:rsid w:val="18546479"/>
    <w:rsid w:val="18675F4B"/>
    <w:rsid w:val="188C65D3"/>
    <w:rsid w:val="18A03075"/>
    <w:rsid w:val="18AD12D5"/>
    <w:rsid w:val="18FB4F3C"/>
    <w:rsid w:val="18FE5B38"/>
    <w:rsid w:val="19532B19"/>
    <w:rsid w:val="19C534ED"/>
    <w:rsid w:val="19E9247F"/>
    <w:rsid w:val="1A314705"/>
    <w:rsid w:val="1A37660E"/>
    <w:rsid w:val="1A626F8D"/>
    <w:rsid w:val="1A845156"/>
    <w:rsid w:val="1ACF330A"/>
    <w:rsid w:val="1AE0625F"/>
    <w:rsid w:val="1B096967"/>
    <w:rsid w:val="1B0A3EAC"/>
    <w:rsid w:val="1BAF4E0B"/>
    <w:rsid w:val="1BE76355"/>
    <w:rsid w:val="1C243C3B"/>
    <w:rsid w:val="1C384E5A"/>
    <w:rsid w:val="1C9B0240"/>
    <w:rsid w:val="1C9C2643"/>
    <w:rsid w:val="1CE32D75"/>
    <w:rsid w:val="1D0C28B4"/>
    <w:rsid w:val="1D0E5DB7"/>
    <w:rsid w:val="1D4A019B"/>
    <w:rsid w:val="1DC510B2"/>
    <w:rsid w:val="1DDB32DF"/>
    <w:rsid w:val="1E6C66F7"/>
    <w:rsid w:val="1F51312D"/>
    <w:rsid w:val="1F5A6FB2"/>
    <w:rsid w:val="1F6D6B9B"/>
    <w:rsid w:val="1F9600A2"/>
    <w:rsid w:val="1FD74FD0"/>
    <w:rsid w:val="200A7EAB"/>
    <w:rsid w:val="201B383C"/>
    <w:rsid w:val="2031215C"/>
    <w:rsid w:val="207C25DC"/>
    <w:rsid w:val="20D14264"/>
    <w:rsid w:val="20EA2C10"/>
    <w:rsid w:val="20EA738C"/>
    <w:rsid w:val="20F14799"/>
    <w:rsid w:val="21160882"/>
    <w:rsid w:val="21472397"/>
    <w:rsid w:val="216B497A"/>
    <w:rsid w:val="21AD1BF7"/>
    <w:rsid w:val="21DA4716"/>
    <w:rsid w:val="21E0264C"/>
    <w:rsid w:val="21F65A27"/>
    <w:rsid w:val="21FF09D5"/>
    <w:rsid w:val="22467649"/>
    <w:rsid w:val="22653833"/>
    <w:rsid w:val="22B175FF"/>
    <w:rsid w:val="22EE0D5B"/>
    <w:rsid w:val="23D20CE0"/>
    <w:rsid w:val="23E634F2"/>
    <w:rsid w:val="2423153B"/>
    <w:rsid w:val="24BE74B6"/>
    <w:rsid w:val="24C7636B"/>
    <w:rsid w:val="253F062B"/>
    <w:rsid w:val="25C0407C"/>
    <w:rsid w:val="25D303E8"/>
    <w:rsid w:val="25E441BB"/>
    <w:rsid w:val="25E677DB"/>
    <w:rsid w:val="267C2231"/>
    <w:rsid w:val="26962DDB"/>
    <w:rsid w:val="26A11396"/>
    <w:rsid w:val="2701248A"/>
    <w:rsid w:val="271D04C4"/>
    <w:rsid w:val="273F7D71"/>
    <w:rsid w:val="27554102"/>
    <w:rsid w:val="275C6A6B"/>
    <w:rsid w:val="27A11A00"/>
    <w:rsid w:val="27A32A9C"/>
    <w:rsid w:val="27BF5A1F"/>
    <w:rsid w:val="27C97CD5"/>
    <w:rsid w:val="287F42D0"/>
    <w:rsid w:val="28D7460F"/>
    <w:rsid w:val="28FE5FB3"/>
    <w:rsid w:val="2948144B"/>
    <w:rsid w:val="296B15FF"/>
    <w:rsid w:val="29772E93"/>
    <w:rsid w:val="299F384F"/>
    <w:rsid w:val="29BB3FC4"/>
    <w:rsid w:val="29C95561"/>
    <w:rsid w:val="29E9242B"/>
    <w:rsid w:val="2A1928DB"/>
    <w:rsid w:val="2A1A5F20"/>
    <w:rsid w:val="2A7D127A"/>
    <w:rsid w:val="2A9E10F7"/>
    <w:rsid w:val="2ACE6CC8"/>
    <w:rsid w:val="2B275DB5"/>
    <w:rsid w:val="2B523154"/>
    <w:rsid w:val="2B7B2CD7"/>
    <w:rsid w:val="2BFC773A"/>
    <w:rsid w:val="2C732BFC"/>
    <w:rsid w:val="2C7A1B9F"/>
    <w:rsid w:val="2CBC5838"/>
    <w:rsid w:val="2CF72E55"/>
    <w:rsid w:val="2D154F28"/>
    <w:rsid w:val="2D3F3249"/>
    <w:rsid w:val="2D5C441A"/>
    <w:rsid w:val="2D73499D"/>
    <w:rsid w:val="2D7F4BB7"/>
    <w:rsid w:val="2E0979F4"/>
    <w:rsid w:val="2E0B3C17"/>
    <w:rsid w:val="2F340201"/>
    <w:rsid w:val="2F475B9D"/>
    <w:rsid w:val="2F8C268B"/>
    <w:rsid w:val="2F912AF0"/>
    <w:rsid w:val="2FC32F68"/>
    <w:rsid w:val="301A79AB"/>
    <w:rsid w:val="30217FCA"/>
    <w:rsid w:val="30347DA4"/>
    <w:rsid w:val="30AA4608"/>
    <w:rsid w:val="30AE1C6C"/>
    <w:rsid w:val="30D71134"/>
    <w:rsid w:val="30EA07CC"/>
    <w:rsid w:val="30FD526E"/>
    <w:rsid w:val="311567A1"/>
    <w:rsid w:val="31216728"/>
    <w:rsid w:val="317177AC"/>
    <w:rsid w:val="31A43590"/>
    <w:rsid w:val="31A812D2"/>
    <w:rsid w:val="32A4684C"/>
    <w:rsid w:val="32C41357"/>
    <w:rsid w:val="32C71C2C"/>
    <w:rsid w:val="32D379FB"/>
    <w:rsid w:val="32DB3574"/>
    <w:rsid w:val="331039D5"/>
    <w:rsid w:val="335334BF"/>
    <w:rsid w:val="33835B53"/>
    <w:rsid w:val="33F507CF"/>
    <w:rsid w:val="345B087E"/>
    <w:rsid w:val="34D32B73"/>
    <w:rsid w:val="35121EA0"/>
    <w:rsid w:val="35AF16C3"/>
    <w:rsid w:val="36273F67"/>
    <w:rsid w:val="36394BEF"/>
    <w:rsid w:val="366672CF"/>
    <w:rsid w:val="36705660"/>
    <w:rsid w:val="36931098"/>
    <w:rsid w:val="3696421B"/>
    <w:rsid w:val="36D1697E"/>
    <w:rsid w:val="3781113B"/>
    <w:rsid w:val="37C705CC"/>
    <w:rsid w:val="37DC1CD5"/>
    <w:rsid w:val="38042A02"/>
    <w:rsid w:val="380E3E07"/>
    <w:rsid w:val="383407C4"/>
    <w:rsid w:val="38356245"/>
    <w:rsid w:val="38D812D2"/>
    <w:rsid w:val="38E452E6"/>
    <w:rsid w:val="38EF30F5"/>
    <w:rsid w:val="39663F4D"/>
    <w:rsid w:val="39A46AFF"/>
    <w:rsid w:val="39B54215"/>
    <w:rsid w:val="39F20CC8"/>
    <w:rsid w:val="39F86D61"/>
    <w:rsid w:val="3A040A3F"/>
    <w:rsid w:val="3A887993"/>
    <w:rsid w:val="3AA46CD1"/>
    <w:rsid w:val="3AAC46D0"/>
    <w:rsid w:val="3AC8077D"/>
    <w:rsid w:val="3B1874C8"/>
    <w:rsid w:val="3B2F1426"/>
    <w:rsid w:val="3B3742B4"/>
    <w:rsid w:val="3B38436E"/>
    <w:rsid w:val="3B410447"/>
    <w:rsid w:val="3BD45FF4"/>
    <w:rsid w:val="3C566C8A"/>
    <w:rsid w:val="3C975BCF"/>
    <w:rsid w:val="3C9C5ED7"/>
    <w:rsid w:val="3CC83746"/>
    <w:rsid w:val="3CF22653"/>
    <w:rsid w:val="3D06102C"/>
    <w:rsid w:val="3D0B3A11"/>
    <w:rsid w:val="3D1126DA"/>
    <w:rsid w:val="3D212EDB"/>
    <w:rsid w:val="3D217658"/>
    <w:rsid w:val="3D2F21F1"/>
    <w:rsid w:val="3D3F6F8E"/>
    <w:rsid w:val="3D664AA9"/>
    <w:rsid w:val="3DD863C0"/>
    <w:rsid w:val="3E3A59A8"/>
    <w:rsid w:val="3E81631A"/>
    <w:rsid w:val="3ED42521"/>
    <w:rsid w:val="3F1C50AD"/>
    <w:rsid w:val="3F4D5267"/>
    <w:rsid w:val="3FA6268D"/>
    <w:rsid w:val="3FAC2F13"/>
    <w:rsid w:val="401D5D3B"/>
    <w:rsid w:val="403703F1"/>
    <w:rsid w:val="40795178"/>
    <w:rsid w:val="409C408B"/>
    <w:rsid w:val="412F10C8"/>
    <w:rsid w:val="415F7756"/>
    <w:rsid w:val="416C231C"/>
    <w:rsid w:val="418238EE"/>
    <w:rsid w:val="42014610"/>
    <w:rsid w:val="421A1D78"/>
    <w:rsid w:val="425132C0"/>
    <w:rsid w:val="426A7579"/>
    <w:rsid w:val="42BB357B"/>
    <w:rsid w:val="43165F50"/>
    <w:rsid w:val="43B12268"/>
    <w:rsid w:val="43BB3EC5"/>
    <w:rsid w:val="43CF10BE"/>
    <w:rsid w:val="43F67691"/>
    <w:rsid w:val="44494618"/>
    <w:rsid w:val="445D7CFA"/>
    <w:rsid w:val="446F6056"/>
    <w:rsid w:val="449C102A"/>
    <w:rsid w:val="44BD3BD6"/>
    <w:rsid w:val="45DA3042"/>
    <w:rsid w:val="4646138E"/>
    <w:rsid w:val="464F1487"/>
    <w:rsid w:val="46DE0ED1"/>
    <w:rsid w:val="47080B5C"/>
    <w:rsid w:val="472E5BBF"/>
    <w:rsid w:val="47834B64"/>
    <w:rsid w:val="479931AE"/>
    <w:rsid w:val="47BE5573"/>
    <w:rsid w:val="47E250E6"/>
    <w:rsid w:val="48A37CB9"/>
    <w:rsid w:val="48B91E5D"/>
    <w:rsid w:val="48E87129"/>
    <w:rsid w:val="490F4DEA"/>
    <w:rsid w:val="492A0E97"/>
    <w:rsid w:val="49AA15A3"/>
    <w:rsid w:val="49E75788"/>
    <w:rsid w:val="49F91409"/>
    <w:rsid w:val="4A161D99"/>
    <w:rsid w:val="4A1B6221"/>
    <w:rsid w:val="4A3B4F8C"/>
    <w:rsid w:val="4A6B4506"/>
    <w:rsid w:val="4A8F08F3"/>
    <w:rsid w:val="4AAC461E"/>
    <w:rsid w:val="4ACE4BEE"/>
    <w:rsid w:val="4AEF721B"/>
    <w:rsid w:val="4AFA3691"/>
    <w:rsid w:val="4B0B13AD"/>
    <w:rsid w:val="4B410375"/>
    <w:rsid w:val="4B5E7B32"/>
    <w:rsid w:val="4B61433A"/>
    <w:rsid w:val="4B7B4EE4"/>
    <w:rsid w:val="4C147660"/>
    <w:rsid w:val="4C2E4987"/>
    <w:rsid w:val="4C6562E6"/>
    <w:rsid w:val="4CC82987"/>
    <w:rsid w:val="4CE36A34"/>
    <w:rsid w:val="4D0F1DAD"/>
    <w:rsid w:val="4D151ABA"/>
    <w:rsid w:val="4D4963D8"/>
    <w:rsid w:val="4DD9505C"/>
    <w:rsid w:val="4E0A479A"/>
    <w:rsid w:val="4E6A7B35"/>
    <w:rsid w:val="4EDE7C89"/>
    <w:rsid w:val="4EEA223F"/>
    <w:rsid w:val="4F3007F7"/>
    <w:rsid w:val="4F39377E"/>
    <w:rsid w:val="4F4A4635"/>
    <w:rsid w:val="4F6A4F5A"/>
    <w:rsid w:val="4F6B6973"/>
    <w:rsid w:val="4F716C20"/>
    <w:rsid w:val="4F9E0E2B"/>
    <w:rsid w:val="4FB819D5"/>
    <w:rsid w:val="500927E1"/>
    <w:rsid w:val="50290A0F"/>
    <w:rsid w:val="50394DF5"/>
    <w:rsid w:val="50C61B92"/>
    <w:rsid w:val="50D133DB"/>
    <w:rsid w:val="513B5867"/>
    <w:rsid w:val="51881C50"/>
    <w:rsid w:val="51AF7912"/>
    <w:rsid w:val="52214A5D"/>
    <w:rsid w:val="52622C38"/>
    <w:rsid w:val="52821107"/>
    <w:rsid w:val="5285086E"/>
    <w:rsid w:val="528F7BA4"/>
    <w:rsid w:val="52903990"/>
    <w:rsid w:val="52C36155"/>
    <w:rsid w:val="52C74B5B"/>
    <w:rsid w:val="52EB4E2E"/>
    <w:rsid w:val="530A434B"/>
    <w:rsid w:val="532064EF"/>
    <w:rsid w:val="53C122EA"/>
    <w:rsid w:val="53D7279A"/>
    <w:rsid w:val="54074C88"/>
    <w:rsid w:val="5425031B"/>
    <w:rsid w:val="54A40077"/>
    <w:rsid w:val="54BA6AA3"/>
    <w:rsid w:val="54DC2048"/>
    <w:rsid w:val="54E161C8"/>
    <w:rsid w:val="54EC7014"/>
    <w:rsid w:val="5511700B"/>
    <w:rsid w:val="554271C4"/>
    <w:rsid w:val="55432CF1"/>
    <w:rsid w:val="55545189"/>
    <w:rsid w:val="55563F10"/>
    <w:rsid w:val="55A41A91"/>
    <w:rsid w:val="55EE0C0B"/>
    <w:rsid w:val="56BC7B6F"/>
    <w:rsid w:val="56DF6C95"/>
    <w:rsid w:val="56F2514B"/>
    <w:rsid w:val="576158FB"/>
    <w:rsid w:val="5774562F"/>
    <w:rsid w:val="580544D9"/>
    <w:rsid w:val="580738AF"/>
    <w:rsid w:val="581E561D"/>
    <w:rsid w:val="584E6E8C"/>
    <w:rsid w:val="5872092A"/>
    <w:rsid w:val="58762D79"/>
    <w:rsid w:val="594B44CE"/>
    <w:rsid w:val="59871F4D"/>
    <w:rsid w:val="5A5907CA"/>
    <w:rsid w:val="5A5E4C52"/>
    <w:rsid w:val="5AC4067B"/>
    <w:rsid w:val="5ADA679A"/>
    <w:rsid w:val="5B9836D5"/>
    <w:rsid w:val="5BA22089"/>
    <w:rsid w:val="5BCD5945"/>
    <w:rsid w:val="5BCF546A"/>
    <w:rsid w:val="5BEA2363"/>
    <w:rsid w:val="5C55730B"/>
    <w:rsid w:val="5C78171D"/>
    <w:rsid w:val="5CA65E11"/>
    <w:rsid w:val="5CCB4D4C"/>
    <w:rsid w:val="5E0B78D6"/>
    <w:rsid w:val="5EB3635A"/>
    <w:rsid w:val="5EB757F1"/>
    <w:rsid w:val="5EF97F23"/>
    <w:rsid w:val="5F355273"/>
    <w:rsid w:val="5F646C0E"/>
    <w:rsid w:val="5F781AB8"/>
    <w:rsid w:val="5FA32F55"/>
    <w:rsid w:val="5FB15B47"/>
    <w:rsid w:val="5FD101F1"/>
    <w:rsid w:val="6045177F"/>
    <w:rsid w:val="60787079"/>
    <w:rsid w:val="60D67A67"/>
    <w:rsid w:val="60FE0F34"/>
    <w:rsid w:val="61254671"/>
    <w:rsid w:val="615A5099"/>
    <w:rsid w:val="615C160D"/>
    <w:rsid w:val="616B161C"/>
    <w:rsid w:val="617A4C05"/>
    <w:rsid w:val="625C68EC"/>
    <w:rsid w:val="627057BC"/>
    <w:rsid w:val="62872FB3"/>
    <w:rsid w:val="62A96623"/>
    <w:rsid w:val="62C83A1C"/>
    <w:rsid w:val="6303037E"/>
    <w:rsid w:val="63041F5D"/>
    <w:rsid w:val="632815F1"/>
    <w:rsid w:val="63DA2CBD"/>
    <w:rsid w:val="63FA510E"/>
    <w:rsid w:val="641039FE"/>
    <w:rsid w:val="644E4B1D"/>
    <w:rsid w:val="647372DB"/>
    <w:rsid w:val="64BB745E"/>
    <w:rsid w:val="64EC4A56"/>
    <w:rsid w:val="64ED1AE8"/>
    <w:rsid w:val="653C0B5F"/>
    <w:rsid w:val="6580295A"/>
    <w:rsid w:val="65827499"/>
    <w:rsid w:val="65C2756A"/>
    <w:rsid w:val="66495BDD"/>
    <w:rsid w:val="66AA6C33"/>
    <w:rsid w:val="66E724DE"/>
    <w:rsid w:val="66E80E2A"/>
    <w:rsid w:val="67092797"/>
    <w:rsid w:val="671578AF"/>
    <w:rsid w:val="67957DFD"/>
    <w:rsid w:val="67A94890"/>
    <w:rsid w:val="67A96BA0"/>
    <w:rsid w:val="67CF6CDD"/>
    <w:rsid w:val="67F66B9D"/>
    <w:rsid w:val="69046F0B"/>
    <w:rsid w:val="69194579"/>
    <w:rsid w:val="692E7D33"/>
    <w:rsid w:val="6936532B"/>
    <w:rsid w:val="6937082E"/>
    <w:rsid w:val="69701C8D"/>
    <w:rsid w:val="699975CE"/>
    <w:rsid w:val="69B95994"/>
    <w:rsid w:val="69BD7058"/>
    <w:rsid w:val="69EA2328"/>
    <w:rsid w:val="6A085C17"/>
    <w:rsid w:val="6A8B7E5B"/>
    <w:rsid w:val="6AB22299"/>
    <w:rsid w:val="6AD06D26"/>
    <w:rsid w:val="6AD20B92"/>
    <w:rsid w:val="6ADE2DB2"/>
    <w:rsid w:val="6AE43D6D"/>
    <w:rsid w:val="6B333AEC"/>
    <w:rsid w:val="6B6C6197"/>
    <w:rsid w:val="6BFF7183"/>
    <w:rsid w:val="6C19354C"/>
    <w:rsid w:val="6CD50C9B"/>
    <w:rsid w:val="6CE931BD"/>
    <w:rsid w:val="6D0257DA"/>
    <w:rsid w:val="6D0A36F2"/>
    <w:rsid w:val="6DA97D78"/>
    <w:rsid w:val="6DE74955"/>
    <w:rsid w:val="6DF305E0"/>
    <w:rsid w:val="6E4224F5"/>
    <w:rsid w:val="6E573394"/>
    <w:rsid w:val="6E740745"/>
    <w:rsid w:val="6EAD21BF"/>
    <w:rsid w:val="6EF35130"/>
    <w:rsid w:val="6F1C0BDB"/>
    <w:rsid w:val="6F352D82"/>
    <w:rsid w:val="6F5E47A3"/>
    <w:rsid w:val="6FC078E5"/>
    <w:rsid w:val="704509C1"/>
    <w:rsid w:val="705C7D03"/>
    <w:rsid w:val="7079158C"/>
    <w:rsid w:val="70980188"/>
    <w:rsid w:val="7127166C"/>
    <w:rsid w:val="717B51BA"/>
    <w:rsid w:val="718A6651"/>
    <w:rsid w:val="72305957"/>
    <w:rsid w:val="72453989"/>
    <w:rsid w:val="728819D0"/>
    <w:rsid w:val="72C05B3A"/>
    <w:rsid w:val="72D95EEB"/>
    <w:rsid w:val="730114D3"/>
    <w:rsid w:val="730E33D2"/>
    <w:rsid w:val="733E6DC5"/>
    <w:rsid w:val="733F3BA1"/>
    <w:rsid w:val="735402C3"/>
    <w:rsid w:val="739F24EC"/>
    <w:rsid w:val="73B2313C"/>
    <w:rsid w:val="73C43C15"/>
    <w:rsid w:val="73D93DA0"/>
    <w:rsid w:val="73EC4FBF"/>
    <w:rsid w:val="74850B4C"/>
    <w:rsid w:val="754526AC"/>
    <w:rsid w:val="75653527"/>
    <w:rsid w:val="756722AD"/>
    <w:rsid w:val="75933FCD"/>
    <w:rsid w:val="75953045"/>
    <w:rsid w:val="75FD0222"/>
    <w:rsid w:val="76124539"/>
    <w:rsid w:val="76BF646F"/>
    <w:rsid w:val="76CF057A"/>
    <w:rsid w:val="76DF0815"/>
    <w:rsid w:val="770A0384"/>
    <w:rsid w:val="771C4DF6"/>
    <w:rsid w:val="772E7150"/>
    <w:rsid w:val="775C1F10"/>
    <w:rsid w:val="77A6699A"/>
    <w:rsid w:val="78581280"/>
    <w:rsid w:val="792B4B56"/>
    <w:rsid w:val="7A013C4D"/>
    <w:rsid w:val="7B9B6ED9"/>
    <w:rsid w:val="7C7D30F3"/>
    <w:rsid w:val="7C9F3284"/>
    <w:rsid w:val="7CA3658B"/>
    <w:rsid w:val="7D0F0FB9"/>
    <w:rsid w:val="7D1367C2"/>
    <w:rsid w:val="7D300C2D"/>
    <w:rsid w:val="7D4D47CA"/>
    <w:rsid w:val="7DA939D5"/>
    <w:rsid w:val="7DCB29F1"/>
    <w:rsid w:val="7E294F89"/>
    <w:rsid w:val="7E5B31DA"/>
    <w:rsid w:val="7E7F3E8A"/>
    <w:rsid w:val="7EA0044B"/>
    <w:rsid w:val="7ECC4792"/>
    <w:rsid w:val="7F5027ED"/>
    <w:rsid w:val="7F6C211D"/>
    <w:rsid w:val="7F712D22"/>
    <w:rsid w:val="7F7A5DC4"/>
    <w:rsid w:val="7FAE0608"/>
    <w:rsid w:val="7FDC23D1"/>
    <w:rsid w:val="7FDC5C54"/>
    <w:rsid w:val="7FF43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Body Text Indent"/>
    <w:basedOn w:val="1"/>
    <w:next w:val="1"/>
    <w:qFormat/>
    <w:uiPriority w:val="0"/>
    <w:pPr>
      <w:spacing w:after="120"/>
      <w:ind w:left="420" w:leftChars="200"/>
    </w:pPr>
  </w:style>
  <w:style w:type="paragraph" w:styleId="4">
    <w:name w:val="toc 5"/>
    <w:basedOn w:val="1"/>
    <w:next w:val="1"/>
    <w:qFormat/>
    <w:uiPriority w:val="39"/>
    <w:pPr>
      <w:ind w:left="720"/>
      <w:jc w:val="left"/>
    </w:pPr>
    <w:rPr>
      <w:rFonts w:ascii="Times New Roman" w:hAnsi="Times New Roman" w:eastAsia="宋体" w:cs="Times New Roman"/>
      <w:sz w:val="18"/>
      <w:szCs w:val="20"/>
    </w:rPr>
  </w:style>
  <w:style w:type="paragraph" w:styleId="5">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6">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3"/>
    <w:qFormat/>
    <w:uiPriority w:val="0"/>
    <w:pPr>
      <w:ind w:firstLine="200" w:firstLineChars="200"/>
    </w:pPr>
  </w:style>
  <w:style w:type="character" w:styleId="11">
    <w:name w:val="page number"/>
    <w:basedOn w:val="12"/>
    <w:qFormat/>
    <w:uiPriority w:val="0"/>
  </w:style>
  <w:style w:type="character" w:customStyle="1" w:styleId="12">
    <w:name w:val="默认段落字体1"/>
    <w:qFormat/>
    <w:uiPriority w:val="0"/>
  </w:style>
  <w:style w:type="character" w:styleId="13">
    <w:name w:val="Hyperlink"/>
    <w:basedOn w:val="10"/>
    <w:qFormat/>
    <w:uiPriority w:val="0"/>
    <w:rPr>
      <w:color w:val="0000FF"/>
      <w:u w:val="single"/>
    </w:rPr>
  </w:style>
  <w:style w:type="paragraph" w:customStyle="1" w:styleId="14">
    <w:name w:val="列出段落11"/>
    <w:basedOn w:val="1"/>
    <w:qFormat/>
    <w:uiPriority w:val="34"/>
    <w:pPr>
      <w:ind w:firstLine="420" w:firstLineChars="200"/>
    </w:pPr>
    <w:rPr>
      <w:rFonts w:ascii="Calibri" w:hAnsi="Calibri"/>
      <w:szCs w:val="22"/>
    </w:rPr>
  </w:style>
  <w:style w:type="paragraph" w:customStyle="1" w:styleId="15">
    <w:name w:val="(符号)四标题1.1"/>
    <w:basedOn w:val="1"/>
    <w:qFormat/>
    <w:uiPriority w:val="0"/>
    <w:pPr>
      <w:numPr>
        <w:ilvl w:val="1"/>
        <w:numId w:val="1"/>
      </w:numPr>
      <w:tabs>
        <w:tab w:val="left" w:pos="420"/>
        <w:tab w:val="left" w:pos="1180"/>
      </w:tabs>
      <w:spacing w:line="500" w:lineRule="exact"/>
    </w:pPr>
    <w:rPr>
      <w:rFonts w:ascii="宋体" w:hAnsi="宋体"/>
      <w:color w:val="000000"/>
      <w:kern w:val="0"/>
      <w:sz w:val="24"/>
      <w:szCs w:val="20"/>
    </w:rPr>
  </w:style>
  <w:style w:type="paragraph" w:customStyle="1" w:styleId="16">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2675</Words>
  <Characters>2740</Characters>
  <Lines>0</Lines>
  <Paragraphs>0</Paragraphs>
  <TotalTime>4039</TotalTime>
  <ScaleCrop>false</ScaleCrop>
  <LinksUpToDate>false</LinksUpToDate>
  <CharactersWithSpaces>2759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小源atom</cp:lastModifiedBy>
  <dcterms:modified xsi:type="dcterms:W3CDTF">2024-06-24T02:41:00Z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8CC226C6023C4D0CBF72014612310353_13</vt:lpwstr>
  </property>
</Properties>
</file>